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宋体" w:hAnsi="宋体"/>
          <w:b/>
          <w:bCs/>
          <w:color w:val="auto"/>
          <w:sz w:val="32"/>
          <w:szCs w:val="32"/>
          <w:highlight w:val="none"/>
        </w:rPr>
      </w:pPr>
      <w:bookmarkStart w:id="0" w:name="_top"/>
      <w:bookmarkEnd w:id="0"/>
      <w:r>
        <w:rPr>
          <w:rFonts w:hint="eastAsia"/>
          <w:b/>
          <w:bCs/>
          <w:color w:val="auto"/>
          <w:sz w:val="32"/>
          <w:szCs w:val="32"/>
          <w:highlight w:val="none"/>
        </w:rPr>
        <w:drawing>
          <wp:inline distT="0" distB="0" distL="0" distR="0">
            <wp:extent cx="1047750" cy="914400"/>
            <wp:effectExtent l="0" t="0" r="0" b="0"/>
            <wp:docPr id="3" name="图片 3" descr="2"/>
            <wp:cNvGraphicFramePr/>
            <a:graphic xmlns:a="http://schemas.openxmlformats.org/drawingml/2006/main">
              <a:graphicData uri="http://schemas.openxmlformats.org/drawingml/2006/picture">
                <pic:pic xmlns:pic="http://schemas.openxmlformats.org/drawingml/2006/picture">
                  <pic:nvPicPr>
                    <pic:cNvPr id="3" name="图片 3" descr="2"/>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047750" cy="914400"/>
                    </a:xfrm>
                    <a:prstGeom prst="rect">
                      <a:avLst/>
                    </a:prstGeom>
                    <a:noFill/>
                    <a:ln>
                      <a:noFill/>
                    </a:ln>
                  </pic:spPr>
                </pic:pic>
              </a:graphicData>
            </a:graphic>
          </wp:inline>
        </w:drawing>
      </w:r>
    </w:p>
    <w:p>
      <w:pPr>
        <w:spacing w:line="360" w:lineRule="auto"/>
        <w:jc w:val="center"/>
        <w:rPr>
          <w:rFonts w:ascii="宋体" w:hAnsi="宋体"/>
          <w:b/>
          <w:bCs/>
          <w:color w:val="auto"/>
          <w:sz w:val="32"/>
          <w:szCs w:val="32"/>
          <w:highlight w:val="none"/>
        </w:rPr>
      </w:pPr>
    </w:p>
    <w:p>
      <w:pPr>
        <w:jc w:val="center"/>
        <w:rPr>
          <w:b/>
          <w:color w:val="auto"/>
          <w:sz w:val="52"/>
          <w:szCs w:val="52"/>
          <w:highlight w:val="none"/>
        </w:rPr>
      </w:pPr>
      <w:r>
        <w:rPr>
          <w:rFonts w:hint="eastAsia"/>
          <w:b/>
          <w:color w:val="auto"/>
          <w:sz w:val="52"/>
          <w:szCs w:val="52"/>
          <w:highlight w:val="none"/>
        </w:rPr>
        <w:t>南京农业大学</w:t>
      </w:r>
    </w:p>
    <w:p>
      <w:pPr>
        <w:jc w:val="center"/>
        <w:rPr>
          <w:b/>
          <w:color w:val="auto"/>
          <w:sz w:val="52"/>
          <w:szCs w:val="52"/>
          <w:highlight w:val="none"/>
        </w:rPr>
      </w:pPr>
    </w:p>
    <w:p>
      <w:pPr>
        <w:jc w:val="center"/>
        <w:rPr>
          <w:b/>
          <w:color w:val="auto"/>
          <w:sz w:val="52"/>
          <w:szCs w:val="52"/>
          <w:highlight w:val="none"/>
        </w:rPr>
      </w:pPr>
      <w:r>
        <w:rPr>
          <w:rFonts w:hint="eastAsia"/>
          <w:b/>
          <w:color w:val="auto"/>
          <w:sz w:val="52"/>
          <w:szCs w:val="52"/>
          <w:highlight w:val="none"/>
        </w:rPr>
        <w:t>图书馆（文化遗产部）IEL数据库采购项目</w:t>
      </w:r>
    </w:p>
    <w:p>
      <w:pPr>
        <w:spacing w:line="360" w:lineRule="auto"/>
        <w:jc w:val="center"/>
        <w:rPr>
          <w:rFonts w:ascii="宋体" w:hAnsi="宋体"/>
          <w:b/>
          <w:bCs/>
          <w:color w:val="auto"/>
          <w:sz w:val="30"/>
          <w:szCs w:val="30"/>
          <w:highlight w:val="none"/>
        </w:rPr>
      </w:pPr>
    </w:p>
    <w:p>
      <w:pPr>
        <w:spacing w:line="360" w:lineRule="auto"/>
        <w:jc w:val="center"/>
        <w:rPr>
          <w:rFonts w:ascii="宋体" w:hAnsi="宋体"/>
          <w:b/>
          <w:bCs/>
          <w:color w:val="auto"/>
          <w:sz w:val="30"/>
          <w:szCs w:val="30"/>
          <w:highlight w:val="none"/>
        </w:rPr>
      </w:pPr>
    </w:p>
    <w:p>
      <w:pPr>
        <w:spacing w:line="360" w:lineRule="auto"/>
        <w:jc w:val="center"/>
        <w:rPr>
          <w:rFonts w:ascii="宋体" w:hAnsi="宋体"/>
          <w:b/>
          <w:bCs/>
          <w:color w:val="auto"/>
          <w:sz w:val="30"/>
          <w:szCs w:val="30"/>
          <w:highlight w:val="none"/>
        </w:rPr>
      </w:pPr>
    </w:p>
    <w:p>
      <w:pPr>
        <w:spacing w:line="360" w:lineRule="auto"/>
        <w:jc w:val="center"/>
        <w:rPr>
          <w:rFonts w:ascii="宋体" w:hAnsi="宋体" w:cs="宋体"/>
          <w:b/>
          <w:color w:val="auto"/>
          <w:kern w:val="0"/>
          <w:sz w:val="32"/>
          <w:szCs w:val="32"/>
          <w:highlight w:val="none"/>
        </w:rPr>
      </w:pPr>
      <w:r>
        <w:rPr>
          <w:rFonts w:hint="eastAsia" w:ascii="宋体" w:hAnsi="宋体"/>
          <w:b/>
          <w:color w:val="auto"/>
          <w:sz w:val="72"/>
          <w:szCs w:val="72"/>
          <w:highlight w:val="none"/>
        </w:rPr>
        <w:t>单一来源采购文件</w:t>
      </w:r>
    </w:p>
    <w:p>
      <w:pPr>
        <w:spacing w:line="360" w:lineRule="auto"/>
        <w:jc w:val="center"/>
        <w:rPr>
          <w:rFonts w:ascii="宋体" w:hAnsi="宋体" w:cs="宋体"/>
          <w:b/>
          <w:color w:val="auto"/>
          <w:kern w:val="0"/>
          <w:sz w:val="32"/>
          <w:szCs w:val="32"/>
          <w:highlight w:val="none"/>
        </w:rPr>
      </w:pPr>
    </w:p>
    <w:p>
      <w:pPr>
        <w:spacing w:line="360" w:lineRule="auto"/>
        <w:jc w:val="center"/>
        <w:rPr>
          <w:rFonts w:ascii="宋体" w:hAnsi="宋体" w:cs="宋体"/>
          <w:b/>
          <w:color w:val="auto"/>
          <w:kern w:val="0"/>
          <w:sz w:val="32"/>
          <w:szCs w:val="32"/>
          <w:highlight w:val="none"/>
        </w:rPr>
      </w:pPr>
    </w:p>
    <w:p>
      <w:pPr>
        <w:spacing w:line="360" w:lineRule="auto"/>
        <w:jc w:val="center"/>
        <w:rPr>
          <w:rFonts w:ascii="宋体" w:hAnsi="宋体"/>
          <w:b/>
          <w:bCs/>
          <w:color w:val="auto"/>
          <w:sz w:val="44"/>
          <w:highlight w:val="none"/>
        </w:rPr>
      </w:pPr>
    </w:p>
    <w:p>
      <w:pPr>
        <w:spacing w:line="360" w:lineRule="auto"/>
        <w:jc w:val="center"/>
        <w:rPr>
          <w:rFonts w:ascii="宋体" w:hAnsi="宋体"/>
          <w:b/>
          <w:bCs/>
          <w:color w:val="auto"/>
          <w:sz w:val="44"/>
          <w:highlight w:val="none"/>
        </w:rPr>
      </w:pPr>
    </w:p>
    <w:p>
      <w:pPr>
        <w:spacing w:line="360" w:lineRule="auto"/>
        <w:ind w:firstLine="1928" w:firstLineChars="600"/>
        <w:rPr>
          <w:rFonts w:ascii="宋体" w:hAnsi="宋体"/>
          <w:b/>
          <w:bCs/>
          <w:color w:val="auto"/>
          <w:sz w:val="32"/>
          <w:szCs w:val="32"/>
          <w:highlight w:val="none"/>
        </w:rPr>
      </w:pPr>
      <w:r>
        <w:rPr>
          <w:rFonts w:hint="eastAsia"/>
          <w:b/>
          <w:bCs/>
          <w:color w:val="auto"/>
          <w:sz w:val="32"/>
          <w:szCs w:val="32"/>
          <w:highlight w:val="none"/>
        </w:rPr>
        <w:t>招标编号：</w:t>
      </w:r>
      <w:r>
        <w:rPr>
          <w:rFonts w:ascii="宋体" w:hAnsi="宋体"/>
          <w:b/>
          <w:bCs/>
          <w:color w:val="auto"/>
          <w:sz w:val="32"/>
          <w:szCs w:val="32"/>
          <w:highlight w:val="none"/>
        </w:rPr>
        <w:t>ZF20220078</w:t>
      </w:r>
    </w:p>
    <w:p>
      <w:pPr>
        <w:spacing w:line="360" w:lineRule="auto"/>
        <w:ind w:firstLine="1928" w:firstLineChars="600"/>
        <w:rPr>
          <w:b/>
          <w:bCs/>
          <w:color w:val="auto"/>
          <w:sz w:val="32"/>
          <w:szCs w:val="32"/>
          <w:highlight w:val="none"/>
        </w:rPr>
      </w:pPr>
      <w:r>
        <w:rPr>
          <w:rFonts w:hint="eastAsia"/>
          <w:b/>
          <w:bCs/>
          <w:color w:val="auto"/>
          <w:sz w:val="32"/>
          <w:szCs w:val="32"/>
          <w:highlight w:val="none"/>
        </w:rPr>
        <w:t>采 购 人：南京农业大学</w:t>
      </w:r>
    </w:p>
    <w:p>
      <w:pPr>
        <w:spacing w:line="360" w:lineRule="auto"/>
        <w:ind w:firstLine="1928" w:firstLineChars="600"/>
        <w:rPr>
          <w:b/>
          <w:bCs/>
          <w:color w:val="auto"/>
          <w:sz w:val="32"/>
          <w:szCs w:val="32"/>
          <w:highlight w:val="none"/>
        </w:rPr>
      </w:pPr>
    </w:p>
    <w:p>
      <w:pPr>
        <w:spacing w:line="360" w:lineRule="auto"/>
        <w:ind w:left="282" w:leftChars="76" w:hanging="122" w:hangingChars="38"/>
        <w:jc w:val="center"/>
        <w:rPr>
          <w:b/>
          <w:bCs/>
          <w:color w:val="auto"/>
          <w:sz w:val="32"/>
          <w:szCs w:val="32"/>
          <w:highlight w:val="none"/>
        </w:rPr>
      </w:pPr>
      <w:r>
        <w:rPr>
          <w:b/>
          <w:bCs/>
          <w:color w:val="auto"/>
          <w:sz w:val="32"/>
          <w:szCs w:val="32"/>
          <w:highlight w:val="none"/>
        </w:rPr>
        <w:t>2022-05</w:t>
      </w:r>
      <w:r>
        <w:rPr>
          <w:b/>
          <w:bCs/>
          <w:color w:val="auto"/>
          <w:sz w:val="32"/>
          <w:szCs w:val="32"/>
          <w:highlight w:val="none"/>
        </w:rPr>
        <w:br w:type="page"/>
      </w:r>
    </w:p>
    <w:p>
      <w:pPr>
        <w:spacing w:line="360" w:lineRule="auto"/>
        <w:ind w:firstLine="2205" w:firstLineChars="1050"/>
        <w:rPr>
          <w:color w:val="auto"/>
          <w:highlight w:val="none"/>
        </w:rPr>
      </w:pPr>
    </w:p>
    <w:p>
      <w:pPr>
        <w:pStyle w:val="46"/>
        <w:spacing w:line="360" w:lineRule="auto"/>
        <w:rPr>
          <w:color w:val="auto"/>
          <w:highlight w:val="none"/>
        </w:rPr>
      </w:pPr>
      <w:r>
        <w:rPr>
          <w:rFonts w:hint="eastAsia"/>
          <w:color w:val="auto"/>
          <w:highlight w:val="none"/>
        </w:rPr>
        <w:t>目    录</w:t>
      </w:r>
    </w:p>
    <w:p>
      <w:pPr>
        <w:spacing w:line="360" w:lineRule="auto"/>
        <w:rPr>
          <w:b/>
          <w:color w:val="auto"/>
          <w:highlight w:val="none"/>
        </w:rPr>
      </w:pPr>
    </w:p>
    <w:p>
      <w:pPr>
        <w:pStyle w:val="19"/>
        <w:rPr>
          <w:rStyle w:val="32"/>
          <w:rFonts w:ascii="宋体" w:hAnsi="宋体"/>
          <w:color w:val="auto"/>
          <w:sz w:val="24"/>
          <w:szCs w:val="20"/>
          <w:highlight w:val="none"/>
        </w:rPr>
      </w:pPr>
      <w:r>
        <w:rPr>
          <w:rStyle w:val="32"/>
          <w:rFonts w:ascii="宋体"/>
          <w:color w:val="auto"/>
          <w:sz w:val="24"/>
          <w:szCs w:val="20"/>
          <w:highlight w:val="none"/>
        </w:rPr>
        <w:fldChar w:fldCharType="begin"/>
      </w:r>
      <w:r>
        <w:rPr>
          <w:rStyle w:val="32"/>
          <w:rFonts w:ascii="宋体"/>
          <w:color w:val="auto"/>
          <w:sz w:val="24"/>
          <w:szCs w:val="20"/>
          <w:highlight w:val="none"/>
        </w:rPr>
        <w:instrText xml:space="preserve"> </w:instrText>
      </w:r>
      <w:r>
        <w:rPr>
          <w:rStyle w:val="32"/>
          <w:rFonts w:hint="eastAsia" w:ascii="宋体"/>
          <w:color w:val="auto"/>
          <w:sz w:val="24"/>
          <w:szCs w:val="20"/>
          <w:highlight w:val="none"/>
        </w:rPr>
        <w:instrText xml:space="preserve">TOC \o "1-1" \h \z \u</w:instrText>
      </w:r>
      <w:r>
        <w:rPr>
          <w:rStyle w:val="32"/>
          <w:rFonts w:ascii="宋体"/>
          <w:color w:val="auto"/>
          <w:sz w:val="24"/>
          <w:szCs w:val="20"/>
          <w:highlight w:val="none"/>
        </w:rPr>
        <w:instrText xml:space="preserve"> </w:instrText>
      </w:r>
      <w:r>
        <w:rPr>
          <w:rStyle w:val="32"/>
          <w:rFonts w:ascii="宋体"/>
          <w:color w:val="auto"/>
          <w:sz w:val="24"/>
          <w:szCs w:val="20"/>
          <w:highlight w:val="none"/>
        </w:rPr>
        <w:fldChar w:fldCharType="separate"/>
      </w:r>
      <w:r>
        <w:rPr>
          <w:color w:val="auto"/>
          <w:highlight w:val="none"/>
        </w:rPr>
        <w:fldChar w:fldCharType="begin"/>
      </w:r>
      <w:r>
        <w:rPr>
          <w:color w:val="auto"/>
          <w:highlight w:val="none"/>
        </w:rPr>
        <w:instrText xml:space="preserve"> HYPERLINK \l "_Toc534807399" </w:instrText>
      </w:r>
      <w:r>
        <w:rPr>
          <w:color w:val="auto"/>
          <w:highlight w:val="none"/>
        </w:rPr>
        <w:fldChar w:fldCharType="separate"/>
      </w:r>
      <w:r>
        <w:rPr>
          <w:rStyle w:val="32"/>
          <w:rFonts w:ascii="宋体" w:hAnsi="宋体"/>
          <w:color w:val="auto"/>
          <w:sz w:val="24"/>
          <w:szCs w:val="20"/>
          <w:highlight w:val="none"/>
        </w:rPr>
        <w:t>第一章  报价邀请</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_Toc534807399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3</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"_Toc534807400" </w:instrText>
      </w:r>
      <w:r>
        <w:rPr>
          <w:color w:val="auto"/>
          <w:highlight w:val="none"/>
        </w:rPr>
        <w:fldChar w:fldCharType="separate"/>
      </w:r>
      <w:r>
        <w:rPr>
          <w:rStyle w:val="32"/>
          <w:rFonts w:ascii="宋体" w:hAnsi="宋体"/>
          <w:color w:val="auto"/>
          <w:sz w:val="24"/>
          <w:szCs w:val="20"/>
          <w:highlight w:val="none"/>
        </w:rPr>
        <w:t>第二章  单一来源供应商须知资料表</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_Toc534807400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3</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"_Toc534807401" </w:instrText>
      </w:r>
      <w:r>
        <w:rPr>
          <w:color w:val="auto"/>
          <w:highlight w:val="none"/>
        </w:rPr>
        <w:fldChar w:fldCharType="separate"/>
      </w:r>
      <w:r>
        <w:rPr>
          <w:rStyle w:val="32"/>
          <w:rFonts w:ascii="宋体" w:hAnsi="宋体"/>
          <w:color w:val="auto"/>
          <w:sz w:val="24"/>
          <w:szCs w:val="20"/>
          <w:highlight w:val="none"/>
        </w:rPr>
        <w:t>第三章  单一来源供应商须知</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_Toc534807401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6</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"_Toc534807402" </w:instrText>
      </w:r>
      <w:r>
        <w:rPr>
          <w:color w:val="auto"/>
          <w:highlight w:val="none"/>
        </w:rPr>
        <w:fldChar w:fldCharType="separate"/>
      </w:r>
      <w:r>
        <w:rPr>
          <w:rStyle w:val="32"/>
          <w:rFonts w:ascii="宋体" w:hAnsi="宋体"/>
          <w:color w:val="auto"/>
          <w:sz w:val="24"/>
          <w:szCs w:val="20"/>
          <w:highlight w:val="none"/>
        </w:rPr>
        <w:t>第四章  采购合同格式</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_Toc534807402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15</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"_Toc534807403" </w:instrText>
      </w:r>
      <w:r>
        <w:rPr>
          <w:color w:val="auto"/>
          <w:highlight w:val="none"/>
        </w:rPr>
        <w:fldChar w:fldCharType="separate"/>
      </w:r>
      <w:r>
        <w:rPr>
          <w:rStyle w:val="32"/>
          <w:rFonts w:ascii="宋体" w:hAnsi="宋体"/>
          <w:color w:val="auto"/>
          <w:sz w:val="24"/>
          <w:szCs w:val="20"/>
          <w:highlight w:val="none"/>
        </w:rPr>
        <w:t>第五章  采购需求</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_Toc534807403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20</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"_Toc534807404" </w:instrText>
      </w:r>
      <w:r>
        <w:rPr>
          <w:color w:val="auto"/>
          <w:highlight w:val="none"/>
        </w:rPr>
        <w:fldChar w:fldCharType="separate"/>
      </w:r>
      <w:r>
        <w:rPr>
          <w:rStyle w:val="32"/>
          <w:rFonts w:ascii="宋体" w:hAnsi="宋体"/>
          <w:color w:val="auto"/>
          <w:sz w:val="24"/>
          <w:szCs w:val="20"/>
          <w:highlight w:val="none"/>
        </w:rPr>
        <w:t>第六章  附件—报价文件格式</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_Toc534807404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25</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color w:val="auto"/>
          <w:sz w:val="32"/>
          <w:highlight w:val="none"/>
        </w:rPr>
      </w:pPr>
      <w:r>
        <w:rPr>
          <w:rStyle w:val="32"/>
          <w:rFonts w:ascii="宋体"/>
          <w:color w:val="auto"/>
          <w:sz w:val="24"/>
          <w:szCs w:val="20"/>
          <w:highlight w:val="none"/>
        </w:rPr>
        <w:fldChar w:fldCharType="end"/>
      </w:r>
      <w:bookmarkStart w:id="1" w:name="_Toc534807399"/>
      <w:r>
        <w:rPr>
          <w:b/>
          <w:color w:val="auto"/>
          <w:highlight w:val="none"/>
        </w:rPr>
        <w:br w:type="page"/>
      </w:r>
    </w:p>
    <w:p>
      <w:pPr>
        <w:pStyle w:val="2"/>
        <w:numPr>
          <w:ilvl w:val="0"/>
          <w:numId w:val="2"/>
        </w:numPr>
        <w:rPr>
          <w:color w:val="auto"/>
          <w:highlight w:val="none"/>
        </w:rPr>
      </w:pPr>
      <w:r>
        <w:rPr>
          <w:rFonts w:hint="eastAsia"/>
          <w:color w:val="auto"/>
          <w:highlight w:val="none"/>
        </w:rPr>
        <w:t>报价邀请</w:t>
      </w:r>
      <w:bookmarkEnd w:id="1"/>
    </w:p>
    <w:p>
      <w:pPr>
        <w:rPr>
          <w:color w:val="auto"/>
          <w:highlight w:val="none"/>
        </w:rPr>
      </w:pPr>
    </w:p>
    <w:p>
      <w:pPr>
        <w:spacing w:line="360" w:lineRule="auto"/>
        <w:ind w:firstLine="566" w:firstLineChars="236"/>
        <w:jc w:val="left"/>
        <w:rPr>
          <w:rFonts w:ascii="宋体" w:hAnsi="宋体"/>
          <w:color w:val="auto"/>
          <w:sz w:val="24"/>
          <w:highlight w:val="none"/>
        </w:rPr>
      </w:pPr>
      <w:r>
        <w:rPr>
          <w:rFonts w:hint="eastAsia" w:ascii="宋体" w:hAnsi="宋体"/>
          <w:color w:val="auto"/>
          <w:sz w:val="24"/>
          <w:highlight w:val="none"/>
        </w:rPr>
        <w:t>根据有关规定，对其图书馆（文化遗产部）IEL数据库采购项目进行单一来源</w:t>
      </w:r>
      <w:r>
        <w:rPr>
          <w:rFonts w:ascii="宋体" w:hAnsi="宋体"/>
          <w:color w:val="auto"/>
          <w:sz w:val="24"/>
          <w:highlight w:val="none"/>
        </w:rPr>
        <w:t>采购</w:t>
      </w:r>
      <w:r>
        <w:rPr>
          <w:rFonts w:hint="eastAsia" w:ascii="宋体" w:hAnsi="宋体"/>
          <w:color w:val="auto"/>
          <w:sz w:val="24"/>
          <w:highlight w:val="none"/>
        </w:rPr>
        <w:t>，现邀请</w:t>
      </w:r>
      <w:r>
        <w:rPr>
          <w:rFonts w:hint="eastAsia" w:ascii="宋体" w:hAnsi="宋体"/>
          <w:color w:val="auto"/>
          <w:sz w:val="24"/>
          <w:highlight w:val="none"/>
        </w:rPr>
        <w:t>单一来源供应商（）</w:t>
      </w:r>
      <w:r>
        <w:rPr>
          <w:rFonts w:hint="eastAsia" w:ascii="宋体" w:hAnsi="宋体"/>
          <w:color w:val="auto"/>
          <w:sz w:val="24"/>
          <w:highlight w:val="none"/>
        </w:rPr>
        <w:t>报名参加。</w:t>
      </w:r>
    </w:p>
    <w:p>
      <w:pPr>
        <w:spacing w:line="360" w:lineRule="auto"/>
        <w:ind w:firstLine="569" w:firstLineChars="236"/>
        <w:jc w:val="left"/>
        <w:rPr>
          <w:rFonts w:ascii="宋体" w:hAnsi="宋体"/>
          <w:color w:val="auto"/>
          <w:sz w:val="24"/>
          <w:highlight w:val="none"/>
        </w:rPr>
      </w:pPr>
      <w:r>
        <w:rPr>
          <w:rFonts w:ascii="宋体" w:hAnsi="宋体"/>
          <w:b/>
          <w:bCs/>
          <w:color w:val="auto"/>
          <w:sz w:val="24"/>
          <w:highlight w:val="none"/>
        </w:rPr>
        <w:t>项目名称：</w:t>
      </w:r>
      <w:r>
        <w:rPr>
          <w:rFonts w:hint="eastAsia" w:ascii="宋体" w:hAnsi="宋体"/>
          <w:color w:val="auto"/>
          <w:sz w:val="24"/>
          <w:highlight w:val="none"/>
        </w:rPr>
        <w:t>图书馆（文化遗产部）IEL数据库采购项目</w:t>
      </w:r>
    </w:p>
    <w:p>
      <w:pPr>
        <w:spacing w:line="360" w:lineRule="auto"/>
        <w:ind w:firstLine="569" w:firstLineChars="236"/>
        <w:jc w:val="left"/>
        <w:rPr>
          <w:rFonts w:ascii="宋体" w:hAnsi="宋体"/>
          <w:color w:val="auto"/>
          <w:sz w:val="24"/>
          <w:highlight w:val="none"/>
        </w:rPr>
      </w:pPr>
      <w:r>
        <w:rPr>
          <w:rFonts w:ascii="宋体" w:hAnsi="宋体"/>
          <w:b/>
          <w:bCs/>
          <w:color w:val="auto"/>
          <w:sz w:val="24"/>
          <w:highlight w:val="none"/>
        </w:rPr>
        <w:t>项目编号：</w:t>
      </w:r>
      <w:bookmarkStart w:id="2" w:name="_Hlk23777674"/>
      <w:r>
        <w:rPr>
          <w:rFonts w:ascii="宋体" w:hAnsi="宋体"/>
          <w:color w:val="auto"/>
          <w:sz w:val="24"/>
          <w:highlight w:val="none"/>
        </w:rPr>
        <w:t>ZF20220078</w:t>
      </w:r>
    </w:p>
    <w:bookmarkEnd w:id="2"/>
    <w:p>
      <w:pPr>
        <w:spacing w:line="360" w:lineRule="auto"/>
        <w:ind w:firstLine="569" w:firstLineChars="236"/>
        <w:jc w:val="left"/>
        <w:rPr>
          <w:rFonts w:ascii="宋体" w:hAnsi="宋体"/>
          <w:color w:val="auto"/>
          <w:sz w:val="24"/>
          <w:highlight w:val="none"/>
        </w:rPr>
      </w:pPr>
      <w:r>
        <w:rPr>
          <w:rFonts w:ascii="宋体" w:hAnsi="宋体"/>
          <w:b/>
          <w:bCs/>
          <w:color w:val="auto"/>
          <w:sz w:val="24"/>
          <w:highlight w:val="none"/>
        </w:rPr>
        <w:t>采购单位联系方式：</w:t>
      </w:r>
    </w:p>
    <w:p>
      <w:pPr>
        <w:spacing w:line="360" w:lineRule="auto"/>
        <w:ind w:firstLine="566" w:firstLineChars="236"/>
        <w:jc w:val="left"/>
        <w:rPr>
          <w:rFonts w:ascii="宋体" w:hAnsi="宋体"/>
          <w:color w:val="auto"/>
          <w:sz w:val="24"/>
          <w:highlight w:val="none"/>
        </w:rPr>
      </w:pPr>
      <w:r>
        <w:rPr>
          <w:rFonts w:hint="eastAsia" w:ascii="宋体" w:hAnsi="宋体"/>
          <w:color w:val="auto"/>
          <w:sz w:val="24"/>
          <w:highlight w:val="none"/>
        </w:rPr>
        <w:t>采购人：南京农业大学</w:t>
      </w:r>
      <w:bookmarkStart w:id="310" w:name="_GoBack"/>
      <w:bookmarkEnd w:id="310"/>
    </w:p>
    <w:p>
      <w:pPr>
        <w:spacing w:line="360" w:lineRule="auto"/>
        <w:ind w:firstLine="566" w:firstLineChars="236"/>
        <w:jc w:val="left"/>
        <w:rPr>
          <w:rFonts w:ascii="宋体" w:hAnsi="宋体"/>
          <w:color w:val="auto"/>
          <w:sz w:val="24"/>
          <w:highlight w:val="none"/>
        </w:rPr>
      </w:pPr>
      <w:r>
        <w:rPr>
          <w:rFonts w:hint="eastAsia" w:ascii="宋体" w:hAnsi="宋体"/>
          <w:color w:val="auto"/>
          <w:sz w:val="24"/>
          <w:highlight w:val="none"/>
        </w:rPr>
        <w:t>采购人地址：南京市玄武区卫岗1号</w:t>
      </w:r>
    </w:p>
    <w:p>
      <w:pPr>
        <w:spacing w:line="360" w:lineRule="auto"/>
        <w:ind w:firstLine="566" w:firstLineChars="236"/>
        <w:jc w:val="left"/>
        <w:rPr>
          <w:rFonts w:ascii="宋体" w:hAnsi="宋体"/>
          <w:color w:val="auto"/>
          <w:sz w:val="24"/>
          <w:highlight w:val="none"/>
        </w:rPr>
      </w:pPr>
      <w:r>
        <w:rPr>
          <w:rFonts w:hint="eastAsia" w:ascii="宋体" w:hAnsi="宋体"/>
          <w:color w:val="auto"/>
          <w:sz w:val="24"/>
          <w:highlight w:val="none"/>
        </w:rPr>
        <w:t>联系方式：刘美超，025-84399008</w:t>
      </w:r>
    </w:p>
    <w:p>
      <w:pPr>
        <w:spacing w:line="360" w:lineRule="auto"/>
        <w:ind w:firstLine="569" w:firstLineChars="236"/>
        <w:jc w:val="left"/>
        <w:rPr>
          <w:rFonts w:ascii="宋体" w:hAnsi="宋体"/>
          <w:color w:val="auto"/>
          <w:sz w:val="24"/>
          <w:highlight w:val="none"/>
        </w:rPr>
      </w:pPr>
      <w:r>
        <w:rPr>
          <w:rFonts w:ascii="宋体" w:hAnsi="宋体"/>
          <w:b/>
          <w:bCs/>
          <w:color w:val="auto"/>
          <w:sz w:val="24"/>
          <w:highlight w:val="none"/>
        </w:rPr>
        <w:t>一、拟采购的货物或者服务的说明</w:t>
      </w:r>
      <w:r>
        <w:rPr>
          <w:rFonts w:hint="eastAsia" w:ascii="宋体" w:hAnsi="宋体"/>
          <w:b/>
          <w:bCs/>
          <w:color w:val="auto"/>
          <w:sz w:val="24"/>
          <w:highlight w:val="none"/>
        </w:rPr>
        <w:t>：</w:t>
      </w:r>
    </w:p>
    <w:p>
      <w:pPr>
        <w:spacing w:line="360" w:lineRule="auto"/>
        <w:ind w:left="420" w:firstLine="420"/>
        <w:jc w:val="left"/>
        <w:rPr>
          <w:rFonts w:ascii="宋体" w:hAnsi="宋体"/>
          <w:color w:val="auto"/>
          <w:sz w:val="24"/>
          <w:highlight w:val="none"/>
        </w:rPr>
      </w:pPr>
      <w:r>
        <w:rPr>
          <w:rFonts w:hint="eastAsia" w:ascii="宋体" w:hAnsi="宋体"/>
          <w:color w:val="auto"/>
          <w:sz w:val="24"/>
          <w:highlight w:val="none"/>
        </w:rPr>
        <w:t>南京农业大学图书馆（文化遗产部）IEL数据库招标采购项目 采购项目采用单一来源方式采购，该项目拟由美国电气电子工程师学会，美国新泽西州皮斯卡塔韦Hoes巷445号提供（或承担）。</w:t>
      </w:r>
    </w:p>
    <w:p>
      <w:pPr>
        <w:spacing w:line="360" w:lineRule="auto"/>
        <w:ind w:left="420" w:firstLine="149"/>
        <w:jc w:val="left"/>
        <w:rPr>
          <w:rFonts w:ascii="宋体" w:hAnsi="宋体"/>
          <w:b/>
          <w:color w:val="auto"/>
          <w:sz w:val="24"/>
          <w:highlight w:val="none"/>
        </w:rPr>
      </w:pPr>
      <w:r>
        <w:rPr>
          <w:rFonts w:hint="eastAsia" w:ascii="宋体" w:hAnsi="宋体"/>
          <w:b/>
          <w:color w:val="auto"/>
          <w:sz w:val="24"/>
          <w:highlight w:val="none"/>
        </w:rPr>
        <w:t>二、</w:t>
      </w:r>
      <w:r>
        <w:rPr>
          <w:rFonts w:ascii="宋体" w:hAnsi="宋体"/>
          <w:b/>
          <w:color w:val="auto"/>
          <w:sz w:val="24"/>
          <w:highlight w:val="none"/>
        </w:rPr>
        <w:t>《单一来源采购文件》</w:t>
      </w:r>
      <w:r>
        <w:rPr>
          <w:rFonts w:hint="eastAsia" w:ascii="宋体" w:hAnsi="宋体"/>
          <w:b/>
          <w:color w:val="auto"/>
          <w:sz w:val="24"/>
          <w:highlight w:val="none"/>
        </w:rPr>
        <w:t>获取方式：</w:t>
      </w:r>
    </w:p>
    <w:p>
      <w:pPr>
        <w:spacing w:line="360" w:lineRule="auto"/>
        <w:ind w:left="420"/>
        <w:rPr>
          <w:rFonts w:ascii="宋体" w:hAnsi="宋体"/>
          <w:color w:val="auto"/>
          <w:sz w:val="24"/>
          <w:highlight w:val="none"/>
        </w:rPr>
      </w:pPr>
      <w:r>
        <w:rPr>
          <w:rFonts w:ascii="宋体" w:hAnsi="宋体"/>
          <w:color w:val="auto"/>
          <w:sz w:val="24"/>
          <w:highlight w:val="none"/>
        </w:rPr>
        <w:t>按照以下要求购买采购文件</w:t>
      </w:r>
      <w:bookmarkStart w:id="3" w:name="_Hlk50018428"/>
    </w:p>
    <w:p>
      <w:pPr>
        <w:spacing w:line="360" w:lineRule="auto"/>
        <w:ind w:left="420"/>
        <w:rPr>
          <w:rFonts w:ascii="宋体" w:hAnsi="宋体"/>
          <w:color w:val="auto"/>
          <w:sz w:val="24"/>
          <w:highlight w:val="none"/>
        </w:rPr>
      </w:pPr>
      <w:r>
        <w:rPr>
          <w:rFonts w:hint="eastAsia" w:ascii="宋体" w:hAnsi="宋体"/>
          <w:b/>
          <w:bCs/>
          <w:color w:val="auto"/>
          <w:sz w:val="24"/>
          <w:highlight w:val="none"/>
        </w:rPr>
        <w:t>获取时间及方式：</w:t>
      </w:r>
      <w:r>
        <w:rPr>
          <w:rFonts w:hint="eastAsia" w:ascii="宋体" w:hAnsi="宋体"/>
          <w:color w:val="auto"/>
          <w:sz w:val="24"/>
          <w:highlight w:val="none"/>
        </w:rPr>
        <w:t>报价</w:t>
      </w:r>
      <w:r>
        <w:rPr>
          <w:rFonts w:ascii="宋体" w:hAnsi="宋体"/>
          <w:color w:val="auto"/>
          <w:sz w:val="24"/>
          <w:highlight w:val="none"/>
        </w:rPr>
        <w:t>文件递交截止时间前每日（双休日及法定节假日除外）上午9:00-11:30，下午14:00-17:00。</w:t>
      </w:r>
    </w:p>
    <w:p>
      <w:pPr>
        <w:pStyle w:val="23"/>
        <w:shd w:val="clear" w:color="auto" w:fill="FFFFFF"/>
        <w:spacing w:before="75" w:beforeAutospacing="0" w:after="75" w:afterAutospacing="0" w:line="360" w:lineRule="auto"/>
        <w:ind w:firstLine="420"/>
        <w:rPr>
          <w:color w:val="auto"/>
          <w:kern w:val="2"/>
          <w:highlight w:val="none"/>
        </w:rPr>
      </w:pPr>
      <w:r>
        <w:rPr>
          <w:rFonts w:hint="eastAsia"/>
          <w:b/>
          <w:bCs/>
          <w:color w:val="auto"/>
          <w:kern w:val="2"/>
          <w:highlight w:val="none"/>
        </w:rPr>
        <w:t>联系</w:t>
      </w:r>
      <w:r>
        <w:rPr>
          <w:b/>
          <w:bCs/>
          <w:color w:val="auto"/>
          <w:kern w:val="2"/>
          <w:highlight w:val="none"/>
        </w:rPr>
        <w:t>人电话：</w:t>
      </w:r>
      <w:r>
        <w:rPr>
          <w:rFonts w:hint="eastAsia"/>
          <w:color w:val="auto"/>
          <w:kern w:val="2"/>
          <w:highlight w:val="none"/>
        </w:rPr>
        <w:t>刘美超，025-84399008</w:t>
      </w:r>
    </w:p>
    <w:p>
      <w:pPr>
        <w:spacing w:line="360" w:lineRule="auto"/>
        <w:ind w:left="420"/>
        <w:rPr>
          <w:rFonts w:ascii="宋体" w:hAnsi="宋体"/>
          <w:color w:val="auto"/>
          <w:sz w:val="24"/>
          <w:highlight w:val="none"/>
        </w:rPr>
      </w:pPr>
      <w:r>
        <w:rPr>
          <w:rFonts w:hint="eastAsia" w:ascii="宋体" w:hAnsi="宋体"/>
          <w:b/>
          <w:bCs/>
          <w:color w:val="auto"/>
          <w:sz w:val="24"/>
          <w:highlight w:val="none"/>
        </w:rPr>
        <w:t>获取方式：</w:t>
      </w:r>
      <w:r>
        <w:rPr>
          <w:rFonts w:ascii="宋体" w:hAnsi="宋体"/>
          <w:color w:val="auto"/>
          <w:sz w:val="24"/>
          <w:highlight w:val="none"/>
        </w:rPr>
        <w:t>请</w:t>
      </w:r>
      <w:r>
        <w:rPr>
          <w:rFonts w:hint="eastAsia" w:ascii="宋体" w:hAnsi="宋体"/>
          <w:color w:val="auto"/>
          <w:sz w:val="24"/>
          <w:highlight w:val="none"/>
        </w:rPr>
        <w:t>单一来源</w:t>
      </w:r>
      <w:r>
        <w:rPr>
          <w:rFonts w:ascii="宋体" w:hAnsi="宋体"/>
          <w:color w:val="auto"/>
          <w:sz w:val="24"/>
          <w:highlight w:val="none"/>
        </w:rPr>
        <w:t>供应商</w:t>
      </w:r>
      <w:r>
        <w:rPr>
          <w:rFonts w:hint="eastAsia" w:ascii="宋体" w:hAnsi="宋体"/>
          <w:color w:val="auto"/>
          <w:sz w:val="24"/>
          <w:highlight w:val="none"/>
        </w:rPr>
        <w:t>向采购人自行下载采购文件。</w:t>
      </w:r>
    </w:p>
    <w:bookmarkEnd w:id="3"/>
    <w:p>
      <w:pPr>
        <w:spacing w:line="360" w:lineRule="auto"/>
        <w:ind w:firstLine="420"/>
        <w:rPr>
          <w:rFonts w:ascii="宋体" w:hAnsi="宋体"/>
          <w:b/>
          <w:bCs/>
          <w:color w:val="auto"/>
          <w:sz w:val="24"/>
          <w:highlight w:val="none"/>
        </w:rPr>
      </w:pPr>
      <w:r>
        <w:rPr>
          <w:rFonts w:hint="eastAsia" w:ascii="宋体" w:hAnsi="宋体"/>
          <w:b/>
          <w:color w:val="auto"/>
          <w:sz w:val="24"/>
          <w:highlight w:val="none"/>
        </w:rPr>
        <w:t>三</w:t>
      </w:r>
      <w:r>
        <w:rPr>
          <w:rFonts w:ascii="宋体" w:hAnsi="宋体"/>
          <w:b/>
          <w:color w:val="auto"/>
          <w:sz w:val="24"/>
          <w:highlight w:val="none"/>
        </w:rPr>
        <w:t>、</w:t>
      </w:r>
      <w:r>
        <w:rPr>
          <w:rFonts w:hint="eastAsia" w:ascii="宋体" w:hAnsi="宋体"/>
          <w:b/>
          <w:color w:val="auto"/>
          <w:sz w:val="24"/>
          <w:highlight w:val="none"/>
        </w:rPr>
        <w:t>谈判</w:t>
      </w:r>
      <w:r>
        <w:rPr>
          <w:rFonts w:ascii="宋体" w:hAnsi="宋体"/>
          <w:b/>
          <w:color w:val="auto"/>
          <w:sz w:val="24"/>
          <w:highlight w:val="none"/>
        </w:rPr>
        <w:t>时间：</w:t>
      </w:r>
      <w:r>
        <w:rPr>
          <w:rFonts w:hint="eastAsia" w:ascii="宋体" w:hAnsi="宋体"/>
          <w:b/>
          <w:color w:val="auto"/>
          <w:sz w:val="24"/>
          <w:highlight w:val="none"/>
        </w:rPr>
        <w:t>20</w:t>
      </w:r>
      <w:r>
        <w:rPr>
          <w:rFonts w:ascii="宋体" w:hAnsi="宋体"/>
          <w:b/>
          <w:color w:val="auto"/>
          <w:sz w:val="24"/>
          <w:highlight w:val="none"/>
        </w:rPr>
        <w:t>22</w:t>
      </w:r>
      <w:r>
        <w:rPr>
          <w:rFonts w:hint="eastAsia" w:ascii="宋体" w:hAnsi="宋体"/>
          <w:b/>
          <w:color w:val="auto"/>
          <w:sz w:val="24"/>
          <w:highlight w:val="none"/>
        </w:rPr>
        <w:t>年</w:t>
      </w:r>
      <w:r>
        <w:rPr>
          <w:rFonts w:ascii="宋体" w:hAnsi="宋体"/>
          <w:b/>
          <w:color w:val="auto"/>
          <w:sz w:val="24"/>
          <w:highlight w:val="none"/>
        </w:rPr>
        <w:t>5</w:t>
      </w:r>
      <w:r>
        <w:rPr>
          <w:rFonts w:hint="eastAsia" w:ascii="宋体" w:hAnsi="宋体"/>
          <w:b/>
          <w:color w:val="auto"/>
          <w:sz w:val="24"/>
          <w:highlight w:val="none"/>
        </w:rPr>
        <w:t>月</w:t>
      </w:r>
      <w:r>
        <w:rPr>
          <w:rFonts w:ascii="宋体" w:hAnsi="宋体"/>
          <w:b/>
          <w:color w:val="auto"/>
          <w:sz w:val="24"/>
          <w:highlight w:val="none"/>
        </w:rPr>
        <w:t>24</w:t>
      </w:r>
      <w:r>
        <w:rPr>
          <w:rFonts w:hint="eastAsia" w:ascii="宋体" w:hAnsi="宋体"/>
          <w:b/>
          <w:color w:val="auto"/>
          <w:sz w:val="24"/>
          <w:highlight w:val="none"/>
        </w:rPr>
        <w:t>日</w:t>
      </w:r>
      <w:r>
        <w:rPr>
          <w:rFonts w:ascii="宋体" w:hAnsi="宋体"/>
          <w:b/>
          <w:color w:val="auto"/>
          <w:sz w:val="24"/>
          <w:highlight w:val="none"/>
        </w:rPr>
        <w:t>14</w:t>
      </w:r>
      <w:r>
        <w:rPr>
          <w:rFonts w:hint="eastAsia" w:ascii="宋体" w:hAnsi="宋体"/>
          <w:b/>
          <w:color w:val="auto"/>
          <w:sz w:val="24"/>
          <w:highlight w:val="none"/>
        </w:rPr>
        <w:t>:</w:t>
      </w:r>
      <w:r>
        <w:rPr>
          <w:rFonts w:ascii="宋体" w:hAnsi="宋体"/>
          <w:b/>
          <w:color w:val="auto"/>
          <w:sz w:val="24"/>
          <w:highlight w:val="none"/>
        </w:rPr>
        <w:t>30</w:t>
      </w:r>
      <w:r>
        <w:rPr>
          <w:rFonts w:hint="eastAsia" w:ascii="宋体" w:hAnsi="宋体"/>
          <w:b/>
          <w:color w:val="auto"/>
          <w:sz w:val="24"/>
          <w:highlight w:val="none"/>
        </w:rPr>
        <w:t>(北京时间)</w:t>
      </w:r>
    </w:p>
    <w:p>
      <w:pPr>
        <w:spacing w:line="360" w:lineRule="auto"/>
        <w:ind w:left="900"/>
        <w:jc w:val="left"/>
        <w:rPr>
          <w:rFonts w:ascii="宋体" w:hAnsi="宋体"/>
          <w:b/>
          <w:color w:val="auto"/>
          <w:sz w:val="24"/>
          <w:highlight w:val="none"/>
        </w:rPr>
      </w:pPr>
      <w:r>
        <w:rPr>
          <w:rFonts w:hint="eastAsia" w:ascii="宋体" w:hAnsi="宋体"/>
          <w:b/>
          <w:color w:val="auto"/>
          <w:sz w:val="24"/>
          <w:highlight w:val="none"/>
        </w:rPr>
        <w:t>谈判地点：南京市玄武区童卫路</w:t>
      </w:r>
      <w:r>
        <w:rPr>
          <w:rFonts w:ascii="宋体" w:hAnsi="宋体"/>
          <w:b/>
          <w:color w:val="auto"/>
          <w:sz w:val="24"/>
          <w:highlight w:val="none"/>
        </w:rPr>
        <w:t>5号1928产业园8号楼5层503会议室</w:t>
      </w:r>
    </w:p>
    <w:p>
      <w:pPr>
        <w:spacing w:line="360" w:lineRule="auto"/>
        <w:ind w:left="420" w:firstLine="146"/>
        <w:jc w:val="left"/>
        <w:rPr>
          <w:rFonts w:ascii="宋体" w:hAnsi="宋体"/>
          <w:color w:val="auto"/>
          <w:sz w:val="24"/>
          <w:highlight w:val="none"/>
        </w:rPr>
      </w:pPr>
      <w:r>
        <w:rPr>
          <w:rFonts w:hint="eastAsia" w:ascii="宋体" w:hAnsi="宋体"/>
          <w:b/>
          <w:bCs/>
          <w:color w:val="auto"/>
          <w:sz w:val="24"/>
          <w:highlight w:val="none"/>
        </w:rPr>
        <w:t>四</w:t>
      </w:r>
      <w:r>
        <w:rPr>
          <w:rFonts w:ascii="宋体" w:hAnsi="宋体"/>
          <w:b/>
          <w:bCs/>
          <w:color w:val="auto"/>
          <w:sz w:val="24"/>
          <w:highlight w:val="none"/>
        </w:rPr>
        <w:t>、其它补充事宜</w:t>
      </w:r>
    </w:p>
    <w:p>
      <w:pPr>
        <w:spacing w:line="360" w:lineRule="auto"/>
        <w:ind w:left="420" w:firstLine="146"/>
        <w:jc w:val="left"/>
        <w:rPr>
          <w:rFonts w:ascii="宋体" w:hAnsi="宋体"/>
          <w:color w:val="auto"/>
          <w:sz w:val="24"/>
          <w:highlight w:val="none"/>
        </w:rPr>
      </w:pPr>
      <w:r>
        <w:rPr>
          <w:rFonts w:hint="eastAsia" w:ascii="宋体" w:hAnsi="宋体"/>
          <w:color w:val="auto"/>
          <w:sz w:val="24"/>
          <w:highlight w:val="none"/>
        </w:rPr>
        <w:t>本项目成交公告在南京农业大学校园网、中国政府采购网发布。</w:t>
      </w:r>
    </w:p>
    <w:p>
      <w:pPr>
        <w:spacing w:line="360" w:lineRule="auto"/>
        <w:ind w:firstLine="569" w:firstLineChars="236"/>
        <w:jc w:val="left"/>
        <w:rPr>
          <w:rFonts w:ascii="宋体" w:hAnsi="宋体"/>
          <w:color w:val="auto"/>
          <w:sz w:val="24"/>
          <w:highlight w:val="none"/>
        </w:rPr>
      </w:pPr>
      <w:r>
        <w:rPr>
          <w:rFonts w:hint="eastAsia" w:ascii="宋体" w:hAnsi="宋体"/>
          <w:b/>
          <w:bCs/>
          <w:color w:val="auto"/>
          <w:sz w:val="24"/>
          <w:highlight w:val="none"/>
        </w:rPr>
        <w:t>五</w:t>
      </w:r>
      <w:r>
        <w:rPr>
          <w:rFonts w:ascii="宋体" w:hAnsi="宋体"/>
          <w:b/>
          <w:bCs/>
          <w:color w:val="auto"/>
          <w:sz w:val="24"/>
          <w:highlight w:val="none"/>
        </w:rPr>
        <w:t>、预算金额</w:t>
      </w:r>
      <w:r>
        <w:rPr>
          <w:rFonts w:hint="eastAsia" w:ascii="宋体" w:hAnsi="宋体"/>
          <w:b/>
          <w:bCs/>
          <w:color w:val="auto"/>
          <w:sz w:val="24"/>
          <w:highlight w:val="none"/>
        </w:rPr>
        <w:t>：</w:t>
      </w:r>
      <w:r>
        <w:rPr>
          <w:rFonts w:ascii="宋体" w:hAnsi="宋体"/>
          <w:color w:val="auto"/>
          <w:sz w:val="24"/>
          <w:highlight w:val="none"/>
        </w:rPr>
        <w:t>81027.99美元</w:t>
      </w:r>
      <w:r>
        <w:rPr>
          <w:rFonts w:hint="eastAsia" w:ascii="宋体" w:hAnsi="宋体"/>
          <w:color w:val="auto"/>
          <w:sz w:val="24"/>
          <w:highlight w:val="none"/>
        </w:rPr>
        <w:t>（订购期中的第一年度预算）</w:t>
      </w:r>
    </w:p>
    <w:p>
      <w:pPr>
        <w:pStyle w:val="2"/>
        <w:spacing w:line="360" w:lineRule="auto"/>
        <w:rPr>
          <w:color w:val="auto"/>
          <w:highlight w:val="none"/>
        </w:rPr>
      </w:pPr>
      <w:bookmarkStart w:id="4" w:name="_Toc534807400"/>
      <w:r>
        <w:rPr>
          <w:rFonts w:hint="eastAsia"/>
          <w:color w:val="auto"/>
          <w:highlight w:val="none"/>
        </w:rPr>
        <w:t>第二章  单一来源供应商须知资料表</w:t>
      </w:r>
      <w:bookmarkEnd w:id="4"/>
    </w:p>
    <w:p>
      <w:pPr>
        <w:spacing w:line="360" w:lineRule="auto"/>
        <w:jc w:val="left"/>
        <w:rPr>
          <w:rFonts w:ascii="宋体" w:hAnsi="宋体"/>
          <w:color w:val="auto"/>
          <w:sz w:val="24"/>
          <w:highlight w:val="none"/>
        </w:rPr>
      </w:pPr>
      <w:r>
        <w:rPr>
          <w:rFonts w:hint="eastAsia" w:ascii="宋体" w:hAnsi="宋体"/>
          <w:color w:val="auto"/>
          <w:sz w:val="24"/>
          <w:highlight w:val="none"/>
        </w:rPr>
        <w:t>本表是对单一来源供应商须知的具体补充和修改，如有矛盾，应以本资料表为准。</w:t>
      </w:r>
    </w:p>
    <w:tbl>
      <w:tblPr>
        <w:tblStyle w:val="26"/>
        <w:tblW w:w="938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81"/>
        <w:gridCol w:w="850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12" w:space="0"/>
              <w:left w:val="single" w:color="auto" w:sz="12" w:space="0"/>
              <w:bottom w:val="single" w:color="auto" w:sz="6" w:space="0"/>
              <w:right w:val="single" w:color="auto" w:sz="6"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rPr>
              <w:t>条款号</w:t>
            </w:r>
          </w:p>
        </w:tc>
        <w:tc>
          <w:tcPr>
            <w:tcW w:w="8503" w:type="dxa"/>
            <w:tcBorders>
              <w:top w:val="single" w:color="auto" w:sz="12" w:space="0"/>
              <w:left w:val="single" w:color="auto" w:sz="6" w:space="0"/>
              <w:bottom w:val="single" w:color="auto" w:sz="6" w:space="0"/>
              <w:right w:val="single" w:color="auto" w:sz="12" w:space="0"/>
            </w:tcBorders>
            <w:vAlign w:val="center"/>
          </w:tcPr>
          <w:p>
            <w:pPr>
              <w:spacing w:line="360" w:lineRule="auto"/>
              <w:jc w:val="left"/>
              <w:rPr>
                <w:rFonts w:ascii="宋体" w:hAnsi="宋体"/>
                <w:b/>
                <w:color w:val="auto"/>
                <w:sz w:val="24"/>
                <w:highlight w:val="none"/>
              </w:rPr>
            </w:pPr>
            <w:r>
              <w:rPr>
                <w:rFonts w:hint="eastAsia" w:ascii="宋体" w:hAnsi="宋体"/>
                <w:b/>
                <w:color w:val="auto"/>
                <w:sz w:val="24"/>
                <w:highlight w:val="none"/>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rPr>
              <w:t>采购人名称：南京农业大学</w:t>
            </w:r>
          </w:p>
          <w:p>
            <w:pPr>
              <w:spacing w:line="360" w:lineRule="auto"/>
              <w:jc w:val="left"/>
              <w:rPr>
                <w:rFonts w:ascii="宋体" w:hAnsi="宋体"/>
                <w:color w:val="auto"/>
                <w:sz w:val="24"/>
                <w:highlight w:val="none"/>
              </w:rPr>
            </w:pPr>
            <w:r>
              <w:rPr>
                <w:rFonts w:hint="eastAsia" w:ascii="宋体" w:hAnsi="宋体"/>
                <w:color w:val="auto"/>
                <w:sz w:val="24"/>
                <w:highlight w:val="none"/>
              </w:rPr>
              <w:t>详细地址：南京市玄武区卫岗1号</w:t>
            </w:r>
          </w:p>
          <w:p>
            <w:pPr>
              <w:spacing w:line="360" w:lineRule="auto"/>
              <w:jc w:val="left"/>
              <w:rPr>
                <w:color w:val="auto"/>
                <w:highlight w:val="none"/>
                <w:lang w:val="zh-CN"/>
              </w:rPr>
            </w:pPr>
            <w:r>
              <w:rPr>
                <w:rFonts w:hint="eastAsia" w:ascii="宋体" w:hAnsi="宋体"/>
                <w:color w:val="auto"/>
                <w:sz w:val="24"/>
                <w:highlight w:val="none"/>
              </w:rPr>
              <w:t>联系方式：刘美超，025-84399008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lang w:val="zh-CN"/>
              </w:rPr>
              <w:t>资金来源：财政资金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12.1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ind w:left="1592" w:hanging="1592"/>
              <w:jc w:val="left"/>
              <w:rPr>
                <w:rFonts w:ascii="宋体" w:hAnsi="宋体"/>
                <w:color w:val="auto"/>
                <w:sz w:val="24"/>
                <w:highlight w:val="none"/>
                <w:u w:val="single"/>
              </w:rPr>
            </w:pPr>
            <w:r>
              <w:rPr>
                <w:rFonts w:hint="eastAsia" w:ascii="宋体" w:hAnsi="宋体"/>
                <w:color w:val="auto"/>
                <w:sz w:val="24"/>
                <w:highlight w:val="none"/>
              </w:rPr>
              <w:t>报价有效期：</w:t>
            </w:r>
            <w:r>
              <w:rPr>
                <w:rFonts w:ascii="宋体" w:hAnsi="宋体"/>
                <w:color w:val="auto"/>
                <w:sz w:val="24"/>
                <w:highlight w:val="none"/>
                <w:u w:val="single"/>
              </w:rPr>
              <w:t>90</w:t>
            </w:r>
            <w:r>
              <w:rPr>
                <w:rFonts w:hint="eastAsia" w:ascii="宋体" w:hAnsi="宋体"/>
                <w:color w:val="auto"/>
                <w:sz w:val="24"/>
                <w:highlight w:val="none"/>
                <w:u w:val="single"/>
              </w:rPr>
              <w:t>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2.2</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ind w:left="1592" w:hanging="1592"/>
              <w:jc w:val="left"/>
              <w:rPr>
                <w:rFonts w:ascii="宋体" w:hAnsi="宋体"/>
                <w:b/>
                <w:bCs/>
                <w:color w:val="auto"/>
                <w:sz w:val="24"/>
                <w:highlight w:val="none"/>
              </w:rPr>
            </w:pPr>
            <w:r>
              <w:rPr>
                <w:rFonts w:hint="eastAsia" w:ascii="宋体" w:hAnsi="宋体"/>
                <w:b/>
                <w:bCs/>
                <w:color w:val="auto"/>
                <w:sz w:val="24"/>
                <w:highlight w:val="none"/>
              </w:rPr>
              <w:t>最高投标限价</w:t>
            </w:r>
            <w:r>
              <w:rPr>
                <w:rFonts w:ascii="宋体" w:hAnsi="宋体"/>
                <w:b/>
                <w:bCs/>
                <w:color w:val="auto"/>
                <w:sz w:val="24"/>
                <w:highlight w:val="none"/>
              </w:rPr>
              <w:t>：81027.99美元</w:t>
            </w:r>
            <w:r>
              <w:rPr>
                <w:rFonts w:hint="eastAsia" w:ascii="宋体" w:hAnsi="宋体"/>
                <w:b/>
                <w:bCs/>
                <w:color w:val="auto"/>
                <w:sz w:val="24"/>
                <w:highlight w:val="none"/>
              </w:rPr>
              <w:t>（订购期中的第一年度预算）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13.1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b/>
                <w:bCs/>
                <w:color w:val="auto"/>
                <w:sz w:val="24"/>
                <w:highlight w:val="none"/>
                <w:u w:val="single"/>
              </w:rPr>
            </w:pPr>
            <w:r>
              <w:rPr>
                <w:rFonts w:hint="eastAsia" w:ascii="宋体" w:hAnsi="宋体"/>
                <w:b/>
                <w:bCs/>
                <w:color w:val="auto"/>
                <w:sz w:val="24"/>
                <w:highlight w:val="none"/>
              </w:rPr>
              <w:t>投标文件份数：正本1份，副本</w:t>
            </w:r>
            <w:r>
              <w:rPr>
                <w:rFonts w:ascii="宋体" w:hAnsi="宋体"/>
                <w:b/>
                <w:bCs/>
                <w:color w:val="auto"/>
                <w:sz w:val="24"/>
                <w:highlight w:val="none"/>
              </w:rPr>
              <w:t>2</w:t>
            </w:r>
            <w:r>
              <w:rPr>
                <w:rFonts w:hint="eastAsia" w:ascii="宋体" w:hAnsi="宋体"/>
                <w:b/>
                <w:bCs/>
                <w:color w:val="auto"/>
                <w:sz w:val="24"/>
                <w:highlight w:val="none"/>
              </w:rPr>
              <w:t>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15.1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b/>
                <w:bCs/>
                <w:color w:val="auto"/>
                <w:sz w:val="24"/>
                <w:highlight w:val="none"/>
              </w:rPr>
            </w:pPr>
            <w:r>
              <w:rPr>
                <w:rFonts w:hint="eastAsia" w:ascii="宋体" w:hAnsi="宋体"/>
                <w:b/>
                <w:bCs/>
                <w:color w:val="auto"/>
                <w:sz w:val="24"/>
                <w:highlight w:val="none"/>
              </w:rPr>
              <w:t>报价文件递交截止时间及协商（报价）时间：</w:t>
            </w:r>
            <w:r>
              <w:rPr>
                <w:rFonts w:hint="eastAsia" w:ascii="宋体" w:hAnsi="宋体"/>
                <w:b/>
                <w:color w:val="auto"/>
                <w:sz w:val="24"/>
                <w:highlight w:val="none"/>
              </w:rPr>
              <w:t>20</w:t>
            </w:r>
            <w:r>
              <w:rPr>
                <w:rFonts w:ascii="宋体" w:hAnsi="宋体"/>
                <w:b/>
                <w:color w:val="auto"/>
                <w:sz w:val="24"/>
                <w:highlight w:val="none"/>
              </w:rPr>
              <w:t>22</w:t>
            </w:r>
            <w:r>
              <w:rPr>
                <w:rFonts w:hint="eastAsia" w:ascii="宋体" w:hAnsi="宋体"/>
                <w:b/>
                <w:color w:val="auto"/>
                <w:sz w:val="24"/>
                <w:highlight w:val="none"/>
              </w:rPr>
              <w:t>年</w:t>
            </w:r>
            <w:r>
              <w:rPr>
                <w:rFonts w:ascii="宋体" w:hAnsi="宋体"/>
                <w:b/>
                <w:color w:val="auto"/>
                <w:sz w:val="24"/>
                <w:highlight w:val="none"/>
              </w:rPr>
              <w:t>5</w:t>
            </w:r>
            <w:r>
              <w:rPr>
                <w:rFonts w:hint="eastAsia" w:ascii="宋体" w:hAnsi="宋体"/>
                <w:b/>
                <w:color w:val="auto"/>
                <w:sz w:val="24"/>
                <w:highlight w:val="none"/>
              </w:rPr>
              <w:t>月</w:t>
            </w:r>
            <w:r>
              <w:rPr>
                <w:rFonts w:ascii="宋体" w:hAnsi="宋体"/>
                <w:b/>
                <w:color w:val="auto"/>
                <w:sz w:val="24"/>
                <w:highlight w:val="none"/>
              </w:rPr>
              <w:t>24</w:t>
            </w:r>
            <w:r>
              <w:rPr>
                <w:rFonts w:hint="eastAsia" w:ascii="宋体" w:hAnsi="宋体"/>
                <w:b/>
                <w:color w:val="auto"/>
                <w:sz w:val="24"/>
                <w:highlight w:val="none"/>
              </w:rPr>
              <w:t>日</w:t>
            </w:r>
            <w:r>
              <w:rPr>
                <w:rFonts w:ascii="宋体" w:hAnsi="宋体"/>
                <w:b/>
                <w:color w:val="auto"/>
                <w:sz w:val="24"/>
                <w:highlight w:val="none"/>
              </w:rPr>
              <w:t>14</w:t>
            </w:r>
            <w:r>
              <w:rPr>
                <w:rFonts w:hint="eastAsia" w:ascii="宋体" w:hAnsi="宋体"/>
                <w:b/>
                <w:color w:val="auto"/>
                <w:sz w:val="24"/>
                <w:highlight w:val="none"/>
              </w:rPr>
              <w:t>:</w:t>
            </w:r>
            <w:r>
              <w:rPr>
                <w:rFonts w:ascii="宋体" w:hAnsi="宋体"/>
                <w:b/>
                <w:color w:val="auto"/>
                <w:sz w:val="24"/>
                <w:highlight w:val="none"/>
              </w:rPr>
              <w:t>30</w:t>
            </w:r>
            <w:r>
              <w:rPr>
                <w:rFonts w:hint="eastAsia" w:ascii="宋体" w:hAnsi="宋体"/>
                <w:b/>
                <w:color w:val="auto"/>
                <w:sz w:val="24"/>
                <w:highlight w:val="none"/>
              </w:rPr>
              <w:t>(北京时间)</w:t>
            </w:r>
            <w:r>
              <w:rPr>
                <w:rFonts w:hint="eastAsia" w:ascii="宋体" w:hAnsi="宋体"/>
                <w:b/>
                <w:bCs/>
                <w:color w:val="auto"/>
                <w:sz w:val="24"/>
                <w:highlight w:val="none"/>
              </w:rPr>
              <w:t xml:space="preserve"> </w:t>
            </w:r>
          </w:p>
          <w:p>
            <w:pPr>
              <w:spacing w:line="360" w:lineRule="auto"/>
              <w:jc w:val="left"/>
              <w:rPr>
                <w:rFonts w:ascii="宋体" w:hAnsi="宋体"/>
                <w:b/>
                <w:bCs/>
                <w:color w:val="auto"/>
                <w:sz w:val="24"/>
                <w:highlight w:val="none"/>
              </w:rPr>
            </w:pPr>
            <w:r>
              <w:rPr>
                <w:rFonts w:hint="eastAsia" w:ascii="宋体" w:hAnsi="宋体"/>
                <w:b/>
                <w:bCs/>
                <w:color w:val="auto"/>
                <w:sz w:val="24"/>
                <w:highlight w:val="none"/>
              </w:rPr>
              <w:t>报价文件递交地点：</w:t>
            </w:r>
            <w:r>
              <w:rPr>
                <w:rFonts w:hint="eastAsia" w:ascii="宋体" w:hAnsi="宋体"/>
                <w:b/>
                <w:color w:val="auto"/>
                <w:sz w:val="24"/>
                <w:highlight w:val="none"/>
              </w:rPr>
              <w:t>南京市玄武区童卫路</w:t>
            </w:r>
            <w:r>
              <w:rPr>
                <w:rFonts w:ascii="宋体" w:hAnsi="宋体"/>
                <w:b/>
                <w:color w:val="auto"/>
                <w:sz w:val="24"/>
                <w:highlight w:val="none"/>
              </w:rPr>
              <w:t>5号1928产业园8号楼5层503会议室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17.1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b/>
                <w:bCs/>
                <w:color w:val="auto"/>
                <w:sz w:val="24"/>
                <w:highlight w:val="none"/>
              </w:rPr>
            </w:pPr>
            <w:r>
              <w:rPr>
                <w:rFonts w:hint="eastAsia" w:ascii="宋体" w:hAnsi="宋体"/>
                <w:b/>
                <w:bCs/>
                <w:color w:val="auto"/>
                <w:sz w:val="24"/>
                <w:highlight w:val="none"/>
              </w:rPr>
              <w:t>协商（报价）地点：</w:t>
            </w:r>
            <w:r>
              <w:rPr>
                <w:rFonts w:hint="eastAsia" w:ascii="宋体" w:hAnsi="宋体"/>
                <w:b/>
                <w:color w:val="auto"/>
                <w:sz w:val="24"/>
                <w:highlight w:val="none"/>
              </w:rPr>
              <w:t>南京市玄武区童卫路</w:t>
            </w:r>
            <w:r>
              <w:rPr>
                <w:rFonts w:ascii="宋体" w:hAnsi="宋体"/>
                <w:b/>
                <w:color w:val="auto"/>
                <w:sz w:val="24"/>
                <w:highlight w:val="none"/>
              </w:rPr>
              <w:t>5号1928产业园8号楼5层503会议室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21.3</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rPr>
              <w:t>评审方法：成交价格合理并保证采购项目质量。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rPr>
              <w:t>采购文件中要求提供的资格证明文件等，均为企业法人提供，供应商如为事业单位法人、其他组织或者自然人，可提供符合要求的相对应的证明文件。采购文件中要求加盖单位公章的，供应商如为自然人，自然人本人签字即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Style w:val="72"/>
                <w:rFonts w:hint="eastAsia" w:cs="Calibri"/>
                <w:color w:val="auto"/>
                <w:sz w:val="24"/>
                <w:highlight w:val="none"/>
                <w:shd w:val="clear" w:color="auto" w:fill="FFFFFF"/>
              </w:rPr>
              <w:t>信</w:t>
            </w:r>
            <w:r>
              <w:rPr>
                <w:rFonts w:hint="eastAsia" w:ascii="宋体" w:hAnsi="宋体"/>
                <w:color w:val="auto"/>
                <w:sz w:val="24"/>
                <w:highlight w:val="none"/>
              </w:rPr>
              <w:t>用记录查询</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rPr>
                <w:rFonts w:ascii="宋体" w:hAnsi="宋体"/>
                <w:color w:val="auto"/>
                <w:sz w:val="24"/>
                <w:highlight w:val="none"/>
              </w:rPr>
            </w:pPr>
            <w:r>
              <w:rPr>
                <w:rFonts w:hint="eastAsia" w:ascii="宋体" w:hAnsi="宋体"/>
                <w:color w:val="auto"/>
                <w:sz w:val="24"/>
                <w:highlight w:val="none"/>
              </w:rPr>
              <w:t>1、信用信息查询渠道：信用中国网站（www.creditchina.gov.cn）、中国政府采购网-政府采购严重违法失信行为信息记录（</w:t>
            </w:r>
            <w:r>
              <w:rPr>
                <w:rFonts w:ascii="宋体" w:hAnsi="宋体"/>
                <w:color w:val="auto"/>
                <w:sz w:val="24"/>
                <w:highlight w:val="none"/>
              </w:rPr>
              <w:t>http://www.ccgp.gov.cn/cr/list</w:t>
            </w:r>
            <w:r>
              <w:rPr>
                <w:rFonts w:hint="eastAsia" w:ascii="宋体" w:hAnsi="宋体"/>
                <w:color w:val="auto"/>
                <w:sz w:val="24"/>
                <w:highlight w:val="none"/>
              </w:rPr>
              <w:t>）；</w:t>
            </w:r>
          </w:p>
          <w:p>
            <w:pPr>
              <w:spacing w:line="360" w:lineRule="auto"/>
              <w:rPr>
                <w:rFonts w:ascii="宋体" w:hAnsi="宋体"/>
                <w:color w:val="auto"/>
                <w:sz w:val="24"/>
                <w:highlight w:val="none"/>
              </w:rPr>
            </w:pPr>
            <w:r>
              <w:rPr>
                <w:rFonts w:hint="eastAsia" w:ascii="宋体" w:hAnsi="宋体"/>
                <w:color w:val="auto"/>
                <w:sz w:val="24"/>
                <w:highlight w:val="none"/>
              </w:rPr>
              <w:t>2、信用信息查询截止时点：投标截止时间（文件提交截止时间）前3日内；</w:t>
            </w:r>
          </w:p>
          <w:p>
            <w:pPr>
              <w:spacing w:line="360" w:lineRule="auto"/>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信用信息的使用规则：对列入失信被执行人、重大税收违法案件当事人名单、政府采购严重违法失信行为记录名单及其他不符合《中华人民共和国政府采购法》第二十二条规定条件的供应商，将拒绝其投标；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9384" w:type="dxa"/>
            <w:gridSpan w:val="2"/>
            <w:tcBorders>
              <w:top w:val="single" w:color="auto" w:sz="6" w:space="0"/>
              <w:left w:val="single" w:color="auto" w:sz="12" w:space="0"/>
              <w:bottom w:val="single" w:color="auto" w:sz="6" w:space="0"/>
              <w:right w:val="single" w:color="auto" w:sz="12" w:space="0"/>
            </w:tcBorders>
            <w:vAlign w:val="center"/>
          </w:tcPr>
          <w:p>
            <w:pPr>
              <w:tabs>
                <w:tab w:val="left" w:pos="720"/>
              </w:tabs>
              <w:spacing w:line="360" w:lineRule="auto"/>
              <w:jc w:val="center"/>
              <w:rPr>
                <w:rFonts w:ascii="宋体" w:hAnsi="宋体"/>
                <w:b/>
                <w:bCs/>
                <w:color w:val="auto"/>
                <w:sz w:val="24"/>
                <w:highlight w:val="none"/>
              </w:rPr>
            </w:pPr>
            <w:r>
              <w:rPr>
                <w:rFonts w:hint="eastAsia" w:ascii="宋体" w:hAnsi="宋体"/>
                <w:b/>
                <w:bCs/>
                <w:color w:val="auto"/>
                <w:sz w:val="24"/>
                <w:highlight w:val="none"/>
              </w:rPr>
              <w:t>疫情防控期间开评标现场说明：</w:t>
            </w:r>
          </w:p>
          <w:p>
            <w:pPr>
              <w:spacing w:line="480" w:lineRule="auto"/>
              <w:jc w:val="left"/>
              <w:rPr>
                <w:rFonts w:ascii="宋体" w:hAnsi="宋体"/>
                <w:color w:val="auto"/>
                <w:kern w:val="0"/>
                <w:sz w:val="24"/>
                <w:highlight w:val="none"/>
              </w:rPr>
            </w:pPr>
            <w:r>
              <w:rPr>
                <w:rFonts w:hint="eastAsia" w:ascii="宋体" w:hAnsi="宋体"/>
                <w:color w:val="auto"/>
                <w:kern w:val="0"/>
                <w:sz w:val="24"/>
                <w:highlight w:val="none"/>
              </w:rPr>
              <w:t>1、开标会由采购人主持，邀请本项目所有投标单位参加，投标单位因故可不出席开标会，投标单位无法参加开标会的，视同同意本项目开标过程及结果。参加本项目开标会的投标单位，每家仅能派一名授权代表参加开标会，该授权代表必须携带身份证原件、委托书原件到达开标现场，并供现场核验，同时配合做好相关询问记录。</w:t>
            </w:r>
          </w:p>
          <w:p>
            <w:pPr>
              <w:spacing w:line="480" w:lineRule="auto"/>
              <w:jc w:val="left"/>
              <w:rPr>
                <w:rFonts w:ascii="宋体" w:hAnsi="宋体"/>
                <w:color w:val="auto"/>
                <w:kern w:val="0"/>
                <w:sz w:val="24"/>
                <w:highlight w:val="none"/>
              </w:rPr>
            </w:pPr>
            <w:r>
              <w:rPr>
                <w:rFonts w:hint="eastAsia" w:ascii="宋体" w:hAnsi="宋体"/>
                <w:color w:val="auto"/>
                <w:kern w:val="0"/>
                <w:sz w:val="24"/>
                <w:highlight w:val="none"/>
              </w:rPr>
              <w:t>2、各投标单位应切实履行疫情防控责任，所派人员应为无疫情接触史、来自或途经重点疫区入县（返县）隔离已满14天、身体健康且符合防控要求，因把关不严造成后果的，将上报有关部门追究责任。</w:t>
            </w:r>
          </w:p>
          <w:p>
            <w:pPr>
              <w:spacing w:line="480" w:lineRule="auto"/>
              <w:jc w:val="left"/>
              <w:rPr>
                <w:rFonts w:ascii="宋体" w:hAnsi="宋体"/>
                <w:color w:val="auto"/>
                <w:kern w:val="0"/>
                <w:sz w:val="24"/>
                <w:highlight w:val="none"/>
              </w:rPr>
            </w:pPr>
            <w:r>
              <w:rPr>
                <w:rFonts w:ascii="宋体" w:hAnsi="宋体"/>
                <w:color w:val="auto"/>
                <w:kern w:val="0"/>
                <w:sz w:val="24"/>
                <w:highlight w:val="none"/>
              </w:rPr>
              <w:t>3</w:t>
            </w:r>
            <w:r>
              <w:rPr>
                <w:rFonts w:hint="eastAsia" w:ascii="宋体" w:hAnsi="宋体"/>
                <w:color w:val="auto"/>
                <w:kern w:val="0"/>
                <w:sz w:val="24"/>
                <w:highlight w:val="none"/>
              </w:rPr>
              <w:t>、如来自中高风险地区（</w:t>
            </w:r>
            <w:r>
              <w:rPr>
                <w:rFonts w:ascii="宋体" w:hAnsi="宋体"/>
                <w:color w:val="auto"/>
                <w:kern w:val="0"/>
                <w:sz w:val="24"/>
                <w:highlight w:val="none"/>
              </w:rPr>
              <w:t>14日内有中高风险地区旅居史）或者与确诊病例（含无症状感染者）有轨迹交叉，应主动配合做好集中医学隔离观察等措施并及时更换符合疫情防控要求的人员参加。</w:t>
            </w:r>
          </w:p>
          <w:p>
            <w:pPr>
              <w:spacing w:line="480" w:lineRule="auto"/>
              <w:jc w:val="left"/>
              <w:rPr>
                <w:rFonts w:ascii="宋体" w:hAnsi="宋体"/>
                <w:color w:val="auto"/>
                <w:kern w:val="0"/>
                <w:sz w:val="24"/>
                <w:highlight w:val="none"/>
              </w:rPr>
            </w:pPr>
            <w:r>
              <w:rPr>
                <w:rFonts w:ascii="宋体" w:hAnsi="宋体"/>
                <w:color w:val="auto"/>
                <w:kern w:val="0"/>
                <w:sz w:val="24"/>
                <w:highlight w:val="none"/>
              </w:rPr>
              <w:t>4</w:t>
            </w:r>
            <w:r>
              <w:rPr>
                <w:rFonts w:hint="eastAsia" w:ascii="宋体" w:hAnsi="宋体"/>
                <w:color w:val="auto"/>
                <w:kern w:val="0"/>
                <w:sz w:val="24"/>
                <w:highlight w:val="none"/>
              </w:rPr>
              <w:t>、因进入开标现场需进行体温检测、身份核验、“苏康码”扫码等，请各授权代表提前到达。因预留时间不足、未佩戴口罩或体温异常等导致的后果，由投标单位自行承担。</w:t>
            </w:r>
          </w:p>
          <w:p>
            <w:pPr>
              <w:spacing w:line="360" w:lineRule="auto"/>
              <w:jc w:val="center"/>
              <w:rPr>
                <w:rFonts w:ascii="宋体" w:hAnsi="宋体"/>
                <w:color w:val="auto"/>
                <w:sz w:val="24"/>
                <w:szCs w:val="20"/>
                <w:highlight w:val="none"/>
              </w:rPr>
            </w:pPr>
            <w:r>
              <w:rPr>
                <w:rFonts w:ascii="宋体" w:hAnsi="宋体"/>
                <w:color w:val="auto"/>
                <w:kern w:val="0"/>
                <w:sz w:val="24"/>
                <w:highlight w:val="none"/>
              </w:rPr>
              <w:t>5</w:t>
            </w:r>
            <w:r>
              <w:rPr>
                <w:rFonts w:hint="eastAsia" w:ascii="宋体" w:hAnsi="宋体"/>
                <w:color w:val="auto"/>
                <w:kern w:val="0"/>
                <w:sz w:val="24"/>
                <w:highlight w:val="none"/>
              </w:rPr>
              <w:t>、进入开标现场应全程佩戴口罩。进入开标现场时请自觉接受体温检测，进入开标室时请自觉接受身份核验，体温检测正常（﹤37.3°C）、身份信息与苏康码一致方可进入。</w:t>
            </w:r>
          </w:p>
          <w:p>
            <w:pPr>
              <w:spacing w:line="480" w:lineRule="auto"/>
              <w:jc w:val="left"/>
              <w:rPr>
                <w:rFonts w:ascii="宋体" w:hAnsi="宋体"/>
                <w:color w:val="auto"/>
                <w:kern w:val="0"/>
                <w:sz w:val="24"/>
                <w:highlight w:val="none"/>
              </w:rPr>
            </w:pPr>
            <w:r>
              <w:rPr>
                <w:rFonts w:hint="eastAsia" w:ascii="宋体" w:hAnsi="宋体"/>
                <w:color w:val="auto"/>
                <w:kern w:val="0"/>
                <w:sz w:val="24"/>
                <w:highlight w:val="none"/>
              </w:rPr>
              <w:t>对有发热、咳嗽等症状以及不符合疫情防控要求的人员，谢绝进入开标现场。</w:t>
            </w:r>
          </w:p>
          <w:p>
            <w:pPr>
              <w:spacing w:line="360" w:lineRule="auto"/>
              <w:rPr>
                <w:rFonts w:ascii="宋体" w:hAnsi="宋体"/>
                <w:color w:val="auto"/>
                <w:sz w:val="24"/>
                <w:highlight w:val="none"/>
              </w:rPr>
            </w:pPr>
            <w:r>
              <w:rPr>
                <w:rFonts w:ascii="宋体" w:hAnsi="宋体"/>
                <w:color w:val="auto"/>
                <w:kern w:val="0"/>
                <w:sz w:val="24"/>
                <w:highlight w:val="none"/>
              </w:rPr>
              <w:t>6</w:t>
            </w:r>
            <w:r>
              <w:rPr>
                <w:rFonts w:hint="eastAsia" w:ascii="宋体" w:hAnsi="宋体"/>
                <w:color w:val="auto"/>
                <w:kern w:val="0"/>
                <w:sz w:val="24"/>
                <w:highlight w:val="none"/>
              </w:rPr>
              <w:t>、进入开标现场的人员应保持适当的间隔距离，排队等候、在开标室、等候区就座时应间隔1米以上。注重个人卫生防护，减少触摸扶手、门把等易污染部位和物品，开标会后应尽快离开，在大楼内不聚集、不攀谈、不逗留。</w:t>
            </w:r>
          </w:p>
        </w:tc>
      </w:tr>
    </w:tbl>
    <w:p>
      <w:pPr>
        <w:pStyle w:val="2"/>
        <w:spacing w:before="0" w:after="0" w:line="360" w:lineRule="auto"/>
        <w:rPr>
          <w:color w:val="auto"/>
          <w:highlight w:val="none"/>
        </w:rPr>
      </w:pPr>
      <w:r>
        <w:rPr>
          <w:color w:val="auto"/>
          <w:highlight w:val="none"/>
        </w:rPr>
        <w:br w:type="page"/>
      </w:r>
      <w:bookmarkStart w:id="5" w:name="_Toc534807401"/>
      <w:r>
        <w:rPr>
          <w:rFonts w:hint="eastAsia" w:hAnsi="宋体"/>
          <w:bCs/>
          <w:color w:val="auto"/>
          <w:highlight w:val="none"/>
        </w:rPr>
        <w:t>第三章  单一来源供应商须知</w:t>
      </w:r>
      <w:bookmarkEnd w:id="5"/>
    </w:p>
    <w:p>
      <w:pPr>
        <w:pStyle w:val="3"/>
        <w:spacing w:before="0" w:line="360" w:lineRule="auto"/>
        <w:rPr>
          <w:rFonts w:ascii="宋体" w:hAnsi="宋体" w:eastAsia="宋体"/>
          <w:color w:val="auto"/>
          <w:sz w:val="28"/>
          <w:highlight w:val="none"/>
        </w:rPr>
      </w:pPr>
      <w:bookmarkStart w:id="6" w:name="_Toc292886181"/>
      <w:bookmarkStart w:id="7" w:name="_Toc434916114"/>
      <w:bookmarkStart w:id="8" w:name="_Toc292886341"/>
      <w:bookmarkStart w:id="9" w:name="_Toc520356143"/>
      <w:bookmarkStart w:id="10" w:name="_Toc367205232"/>
      <w:r>
        <w:rPr>
          <w:rFonts w:hint="eastAsia" w:ascii="宋体" w:hAnsi="宋体" w:eastAsia="宋体"/>
          <w:color w:val="auto"/>
          <w:sz w:val="28"/>
          <w:highlight w:val="none"/>
        </w:rPr>
        <w:t>一   说  明</w:t>
      </w:r>
      <w:bookmarkEnd w:id="6"/>
      <w:bookmarkEnd w:id="7"/>
      <w:bookmarkEnd w:id="8"/>
      <w:bookmarkEnd w:id="9"/>
      <w:bookmarkEnd w:id="10"/>
    </w:p>
    <w:p>
      <w:pPr>
        <w:pStyle w:val="5"/>
        <w:spacing w:before="0" w:after="0" w:line="360" w:lineRule="auto"/>
        <w:ind w:left="899" w:hanging="899"/>
        <w:rPr>
          <w:rFonts w:hAnsi="宋体"/>
          <w:color w:val="auto"/>
          <w:highlight w:val="none"/>
          <w:u w:val="none"/>
        </w:rPr>
      </w:pPr>
      <w:bookmarkStart w:id="11" w:name="_Toc520356144"/>
      <w:bookmarkStart w:id="12" w:name="_Toc199486175"/>
      <w:bookmarkStart w:id="13" w:name="_Toc269551481"/>
      <w:bookmarkStart w:id="14" w:name="_Toc292886342"/>
      <w:bookmarkStart w:id="15" w:name="_Toc434916115"/>
      <w:bookmarkStart w:id="16" w:name="_Toc292886182"/>
      <w:bookmarkStart w:id="17" w:name="_Toc367205233"/>
      <w:r>
        <w:rPr>
          <w:rFonts w:hint="eastAsia" w:hAnsi="宋体"/>
          <w:color w:val="auto"/>
          <w:highlight w:val="none"/>
          <w:u w:val="none"/>
        </w:rPr>
        <w:t>1.</w:t>
      </w:r>
      <w:r>
        <w:rPr>
          <w:rFonts w:hint="eastAsia" w:hAnsi="宋体"/>
          <w:color w:val="auto"/>
          <w:highlight w:val="none"/>
          <w:u w:val="none"/>
        </w:rPr>
        <w:tab/>
      </w:r>
      <w:r>
        <w:rPr>
          <w:rFonts w:hint="eastAsia" w:hAnsi="宋体"/>
          <w:color w:val="auto"/>
          <w:highlight w:val="none"/>
          <w:u w:val="none"/>
        </w:rPr>
        <w:t>采购单位及合格的</w:t>
      </w:r>
      <w:bookmarkEnd w:id="11"/>
      <w:bookmarkEnd w:id="12"/>
      <w:bookmarkEnd w:id="13"/>
      <w:r>
        <w:rPr>
          <w:rFonts w:hint="eastAsia" w:hAnsi="宋体"/>
          <w:color w:val="auto"/>
          <w:highlight w:val="none"/>
          <w:u w:val="none"/>
        </w:rPr>
        <w:t>单一来源供应商</w:t>
      </w:r>
      <w:bookmarkEnd w:id="14"/>
      <w:bookmarkEnd w:id="15"/>
      <w:bookmarkEnd w:id="16"/>
      <w:bookmarkEnd w:id="17"/>
    </w:p>
    <w:p>
      <w:pPr>
        <w:numPr>
          <w:ilvl w:val="1"/>
          <w:numId w:val="3"/>
        </w:numPr>
        <w:spacing w:line="360" w:lineRule="auto"/>
        <w:rPr>
          <w:rFonts w:ascii="宋体" w:hAnsi="宋体"/>
          <w:color w:val="auto"/>
          <w:sz w:val="24"/>
          <w:highlight w:val="none"/>
        </w:rPr>
      </w:pPr>
      <w:r>
        <w:rPr>
          <w:rFonts w:hint="eastAsia" w:ascii="宋体" w:hAnsi="宋体"/>
          <w:color w:val="auto"/>
          <w:sz w:val="24"/>
          <w:highlight w:val="none"/>
        </w:rPr>
        <w:t>采购单位：系指采购人。本项目的采购人为南京农业大学。</w:t>
      </w:r>
    </w:p>
    <w:p>
      <w:pPr>
        <w:spacing w:line="360" w:lineRule="auto"/>
        <w:ind w:left="960" w:hanging="960" w:hangingChars="400"/>
        <w:rPr>
          <w:rFonts w:ascii="宋体" w:hAnsi="宋体"/>
          <w:b/>
          <w:color w:val="auto"/>
          <w:sz w:val="24"/>
          <w:highlight w:val="none"/>
        </w:rPr>
      </w:pPr>
      <w:r>
        <w:rPr>
          <w:rFonts w:hint="eastAsia" w:ascii="宋体" w:hAnsi="宋体"/>
          <w:color w:val="auto"/>
          <w:sz w:val="24"/>
          <w:highlight w:val="none"/>
        </w:rPr>
        <w:t>1.2     单一来源供应商：是指符合本文件的资格条件，并按照本文件规定获得单一来源采购文件，参加谈判的合格供应商。</w:t>
      </w:r>
    </w:p>
    <w:p>
      <w:pPr>
        <w:spacing w:line="360" w:lineRule="auto"/>
        <w:ind w:left="900" w:hanging="900"/>
        <w:rPr>
          <w:rFonts w:ascii="宋体" w:hAnsi="宋体"/>
          <w:b/>
          <w:color w:val="auto"/>
          <w:sz w:val="24"/>
          <w:highlight w:val="none"/>
        </w:rPr>
      </w:pPr>
      <w:r>
        <w:rPr>
          <w:rFonts w:hint="eastAsia" w:ascii="宋体" w:hAnsi="宋体"/>
          <w:b/>
          <w:color w:val="auto"/>
          <w:sz w:val="24"/>
          <w:highlight w:val="none"/>
        </w:rPr>
        <w:t>1.2.1</w:t>
      </w:r>
      <w:r>
        <w:rPr>
          <w:rFonts w:hint="eastAsia" w:ascii="宋体" w:hAnsi="宋体"/>
          <w:b/>
          <w:color w:val="auto"/>
          <w:sz w:val="24"/>
          <w:highlight w:val="none"/>
        </w:rPr>
        <w:tab/>
      </w:r>
      <w:r>
        <w:rPr>
          <w:rFonts w:hint="eastAsia" w:ascii="宋体" w:hAnsi="宋体"/>
          <w:b/>
          <w:color w:val="auto"/>
          <w:sz w:val="24"/>
          <w:highlight w:val="none"/>
        </w:rPr>
        <w:t>本次采购要求供应商具有与本采购项目相应的供货能力。</w:t>
      </w:r>
    </w:p>
    <w:p>
      <w:pPr>
        <w:spacing w:line="360" w:lineRule="auto"/>
        <w:ind w:left="900" w:hanging="900"/>
        <w:rPr>
          <w:rFonts w:ascii="宋体" w:hAnsi="宋体"/>
          <w:b/>
          <w:color w:val="auto"/>
          <w:sz w:val="24"/>
          <w:highlight w:val="none"/>
        </w:rPr>
      </w:pP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1）资质要求：投标人为企业的，应提交营业执照和组织机构代码证的复印件（按照“三证合一”或“五证合一”登记制度进行登记的，可仅提供营业执照复印件）；投标人为依法允许经营的事业单位的，应提交事业单位法人证书和组织机构代码证的复印件。</w:t>
      </w:r>
    </w:p>
    <w:p>
      <w:pPr>
        <w:spacing w:line="360" w:lineRule="auto"/>
        <w:ind w:firstLine="282" w:firstLineChars="117"/>
        <w:rPr>
          <w:rFonts w:cs="Microsoft JhengHei"/>
          <w:b/>
          <w:bCs/>
          <w:color w:val="auto"/>
          <w:sz w:val="24"/>
          <w:highlight w:val="none"/>
        </w:rPr>
      </w:pPr>
      <w:r>
        <w:rPr>
          <w:rFonts w:hint="eastAsia" w:cs="Microsoft JhengHei"/>
          <w:b/>
          <w:bCs/>
          <w:color w:val="auto"/>
          <w:sz w:val="24"/>
          <w:highlight w:val="none"/>
        </w:rPr>
        <w:t>（</w:t>
      </w:r>
      <w:r>
        <w:rPr>
          <w:rFonts w:cs="Microsoft JhengHei"/>
          <w:b/>
          <w:bCs/>
          <w:color w:val="auto"/>
          <w:sz w:val="24"/>
          <w:highlight w:val="none"/>
        </w:rPr>
        <w:t>2）信誉要求：投标方</w:t>
      </w:r>
      <w:bookmarkStart w:id="18" w:name="_Hlk72943535"/>
      <w:r>
        <w:rPr>
          <w:rFonts w:cs="Microsoft JhengHei"/>
          <w:b/>
          <w:bCs/>
          <w:color w:val="auto"/>
          <w:sz w:val="24"/>
          <w:highlight w:val="none"/>
        </w:rPr>
        <w:t>在最近三年内没有骗取中标和严重违约及重大质量问题</w:t>
      </w:r>
      <w:bookmarkEnd w:id="18"/>
      <w:r>
        <w:rPr>
          <w:rFonts w:cs="Microsoft JhengHei"/>
          <w:b/>
          <w:bCs/>
          <w:color w:val="auto"/>
          <w:sz w:val="24"/>
          <w:highlight w:val="none"/>
        </w:rPr>
        <w:t>。</w:t>
      </w:r>
    </w:p>
    <w:p>
      <w:pPr>
        <w:spacing w:line="360" w:lineRule="auto"/>
        <w:ind w:left="900" w:hanging="900"/>
        <w:rPr>
          <w:rFonts w:ascii="宋体" w:hAnsi="宋体"/>
          <w:b/>
          <w:color w:val="auto"/>
          <w:sz w:val="24"/>
          <w:highlight w:val="none"/>
        </w:rPr>
      </w:pPr>
      <w:r>
        <w:rPr>
          <w:rFonts w:hint="eastAsia" w:ascii="宋体" w:hAnsi="宋体"/>
          <w:b/>
          <w:color w:val="auto"/>
          <w:sz w:val="24"/>
          <w:highlight w:val="none"/>
        </w:rPr>
        <w:t>1.2.2</w:t>
      </w:r>
      <w:r>
        <w:rPr>
          <w:rFonts w:hint="eastAsia" w:ascii="宋体" w:hAnsi="宋体"/>
          <w:b/>
          <w:color w:val="auto"/>
          <w:sz w:val="24"/>
          <w:highlight w:val="none"/>
        </w:rPr>
        <w:tab/>
      </w:r>
      <w:r>
        <w:rPr>
          <w:rFonts w:hint="eastAsia" w:ascii="宋体" w:hAnsi="宋体"/>
          <w:b/>
          <w:color w:val="auto"/>
          <w:sz w:val="24"/>
          <w:highlight w:val="none"/>
        </w:rPr>
        <w:t>本次采购不接受联合体投标。</w:t>
      </w:r>
    </w:p>
    <w:p>
      <w:pPr>
        <w:spacing w:line="360" w:lineRule="auto"/>
        <w:ind w:left="900" w:hanging="900"/>
        <w:rPr>
          <w:rFonts w:ascii="宋体" w:hAnsi="宋体"/>
          <w:b/>
          <w:color w:val="auto"/>
          <w:sz w:val="24"/>
          <w:highlight w:val="none"/>
        </w:rPr>
      </w:pPr>
      <w:r>
        <w:rPr>
          <w:rFonts w:hint="eastAsia" w:ascii="宋体" w:hAnsi="宋体"/>
          <w:b/>
          <w:color w:val="auto"/>
          <w:sz w:val="24"/>
          <w:highlight w:val="none"/>
        </w:rPr>
        <w:t>1.2.</w:t>
      </w:r>
      <w:r>
        <w:rPr>
          <w:rFonts w:ascii="宋体" w:hAnsi="宋体"/>
          <w:b/>
          <w:color w:val="auto"/>
          <w:sz w:val="24"/>
          <w:highlight w:val="none"/>
        </w:rPr>
        <w:t>3</w:t>
      </w:r>
      <w:r>
        <w:rPr>
          <w:rFonts w:hint="eastAsia" w:ascii="宋体" w:hAnsi="宋体"/>
          <w:b/>
          <w:color w:val="auto"/>
          <w:sz w:val="24"/>
          <w:highlight w:val="none"/>
        </w:rPr>
        <w:tab/>
      </w:r>
      <w:r>
        <w:rPr>
          <w:rFonts w:hint="eastAsia" w:ascii="宋体" w:hAnsi="宋体"/>
          <w:b/>
          <w:color w:val="auto"/>
          <w:sz w:val="24"/>
          <w:highlight w:val="none"/>
        </w:rPr>
        <w:t>供应商必须向采购人登记才具有报价资格。</w:t>
      </w:r>
    </w:p>
    <w:p>
      <w:pPr>
        <w:spacing w:line="360" w:lineRule="auto"/>
        <w:rPr>
          <w:rFonts w:cs="Microsoft JhengHei"/>
          <w:b/>
          <w:bCs/>
          <w:color w:val="auto"/>
          <w:sz w:val="24"/>
          <w:highlight w:val="none"/>
        </w:rPr>
      </w:pPr>
      <w:r>
        <w:rPr>
          <w:rFonts w:ascii="宋体" w:hAnsi="宋体"/>
          <w:b/>
          <w:color w:val="auto"/>
          <w:sz w:val="24"/>
          <w:highlight w:val="none"/>
        </w:rPr>
        <w:t>1.2.4</w:t>
      </w:r>
      <w:r>
        <w:rPr>
          <w:rFonts w:hint="eastAsia" w:ascii="宋体" w:hAnsi="宋体"/>
          <w:b/>
          <w:color w:val="auto"/>
          <w:sz w:val="24"/>
          <w:highlight w:val="none"/>
        </w:rPr>
        <w:tab/>
      </w:r>
      <w:r>
        <w:rPr>
          <w:rFonts w:hint="eastAsia" w:cs="Microsoft JhengHei"/>
          <w:b/>
          <w:bCs/>
          <w:color w:val="auto"/>
          <w:sz w:val="24"/>
          <w:highlight w:val="none"/>
        </w:rPr>
        <w:t>供应商应</w:t>
      </w:r>
      <w:bookmarkStart w:id="19" w:name="_Hlk72943574"/>
      <w:r>
        <w:rPr>
          <w:rFonts w:hint="eastAsia" w:cs="Microsoft JhengHei"/>
          <w:b/>
          <w:bCs/>
          <w:color w:val="auto"/>
          <w:sz w:val="24"/>
          <w:highlight w:val="none"/>
        </w:rPr>
        <w:t>符合政府采购法第二十二条第一款规定的</w:t>
      </w:r>
      <w:bookmarkEnd w:id="19"/>
      <w:r>
        <w:rPr>
          <w:rFonts w:hint="eastAsia" w:cs="Microsoft JhengHei"/>
          <w:b/>
          <w:bCs/>
          <w:color w:val="auto"/>
          <w:sz w:val="24"/>
          <w:highlight w:val="none"/>
        </w:rPr>
        <w:t>要求。</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ab/>
      </w:r>
      <w:r>
        <w:rPr>
          <w:rFonts w:hint="eastAsia" w:ascii="宋体" w:hAnsi="宋体"/>
          <w:color w:val="auto"/>
          <w:sz w:val="24"/>
          <w:highlight w:val="none"/>
        </w:rPr>
        <w:t>单一来源供应商在协商过程中不得向采购单位及其人员提供、给予任何有价值的物品，影响其正常决策行为。一经发现，其单一来源供应商资格将被取消。</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w:t>
      </w:r>
      <w:r>
        <w:rPr>
          <w:rFonts w:hint="eastAsia" w:ascii="宋体" w:hAnsi="宋体"/>
          <w:color w:val="auto"/>
          <w:sz w:val="24"/>
          <w:highlight w:val="none"/>
        </w:rPr>
        <w:tab/>
      </w:r>
      <w:r>
        <w:rPr>
          <w:rFonts w:hint="eastAsia" w:ascii="宋体" w:hAnsi="宋体"/>
          <w:color w:val="auto"/>
          <w:sz w:val="24"/>
          <w:highlight w:val="none"/>
        </w:rPr>
        <w:t>采购单位在任何时候发现单一来源供应商提交的报价文件内容有下列情形之一时，有权依法追究单一来源供应商的责任：</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w:t>
      </w:r>
      <w:r>
        <w:rPr>
          <w:rFonts w:hint="eastAsia" w:ascii="宋体" w:hAnsi="宋体"/>
          <w:color w:val="auto"/>
          <w:sz w:val="24"/>
          <w:highlight w:val="none"/>
        </w:rPr>
        <w:t>.1</w:t>
      </w:r>
      <w:r>
        <w:rPr>
          <w:rFonts w:hint="eastAsia" w:ascii="宋体" w:hAnsi="宋体"/>
          <w:color w:val="auto"/>
          <w:sz w:val="24"/>
          <w:highlight w:val="none"/>
        </w:rPr>
        <w:tab/>
      </w:r>
      <w:r>
        <w:rPr>
          <w:rFonts w:hint="eastAsia" w:ascii="宋体" w:hAnsi="宋体"/>
          <w:color w:val="auto"/>
          <w:sz w:val="24"/>
          <w:highlight w:val="none"/>
        </w:rPr>
        <w:t>提供虚假的资料。</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w:t>
      </w:r>
      <w:r>
        <w:rPr>
          <w:rFonts w:hint="eastAsia" w:ascii="宋体" w:hAnsi="宋体"/>
          <w:color w:val="auto"/>
          <w:sz w:val="24"/>
          <w:highlight w:val="none"/>
        </w:rPr>
        <w:t>.2</w:t>
      </w:r>
      <w:r>
        <w:rPr>
          <w:rFonts w:hint="eastAsia" w:ascii="宋体" w:hAnsi="宋体"/>
          <w:color w:val="auto"/>
          <w:sz w:val="24"/>
          <w:highlight w:val="none"/>
        </w:rPr>
        <w:tab/>
      </w:r>
      <w:r>
        <w:rPr>
          <w:rFonts w:hint="eastAsia" w:ascii="宋体" w:hAnsi="宋体"/>
          <w:color w:val="auto"/>
          <w:sz w:val="24"/>
          <w:highlight w:val="none"/>
        </w:rPr>
        <w:t>在实质性方面失实。</w:t>
      </w:r>
    </w:p>
    <w:p>
      <w:pPr>
        <w:pStyle w:val="5"/>
        <w:spacing w:before="0" w:after="0" w:line="360" w:lineRule="auto"/>
        <w:ind w:left="901" w:hanging="899"/>
        <w:rPr>
          <w:rFonts w:hAnsi="宋体"/>
          <w:color w:val="auto"/>
          <w:highlight w:val="none"/>
          <w:u w:val="none"/>
        </w:rPr>
      </w:pPr>
      <w:bookmarkStart w:id="20" w:name="_Toc292886183"/>
      <w:bookmarkStart w:id="21" w:name="_Toc434916116"/>
      <w:bookmarkStart w:id="22" w:name="_Toc199486176"/>
      <w:bookmarkStart w:id="23" w:name="_Toc292886343"/>
      <w:bookmarkStart w:id="24" w:name="_Toc269551482"/>
      <w:bookmarkStart w:id="25" w:name="_Toc367205234"/>
      <w:r>
        <w:rPr>
          <w:rFonts w:hint="eastAsia" w:hAnsi="宋体"/>
          <w:color w:val="auto"/>
          <w:highlight w:val="none"/>
          <w:u w:val="none"/>
        </w:rPr>
        <w:t>2.</w:t>
      </w:r>
      <w:r>
        <w:rPr>
          <w:rFonts w:hAnsi="宋体"/>
          <w:color w:val="auto"/>
          <w:highlight w:val="none"/>
          <w:u w:val="none"/>
        </w:rPr>
        <w:t xml:space="preserve">     </w:t>
      </w:r>
      <w:r>
        <w:rPr>
          <w:rFonts w:hint="eastAsia" w:hAnsi="宋体"/>
          <w:color w:val="auto"/>
          <w:highlight w:val="none"/>
          <w:u w:val="none"/>
        </w:rPr>
        <w:t>资金来源</w:t>
      </w:r>
      <w:bookmarkEnd w:id="20"/>
      <w:bookmarkEnd w:id="21"/>
      <w:bookmarkEnd w:id="22"/>
      <w:bookmarkEnd w:id="23"/>
      <w:bookmarkEnd w:id="24"/>
      <w:bookmarkEnd w:id="25"/>
    </w:p>
    <w:p>
      <w:pPr>
        <w:spacing w:line="360" w:lineRule="auto"/>
        <w:ind w:left="897" w:hanging="895"/>
        <w:rPr>
          <w:rFonts w:ascii="宋体" w:hAnsi="宋体"/>
          <w:color w:val="auto"/>
          <w:sz w:val="24"/>
          <w:highlight w:val="none"/>
        </w:rPr>
      </w:pPr>
      <w:r>
        <w:rPr>
          <w:rFonts w:hint="eastAsia" w:ascii="宋体" w:hAnsi="宋体"/>
          <w:color w:val="auto"/>
          <w:sz w:val="24"/>
          <w:highlight w:val="none"/>
        </w:rPr>
        <w:t>2.1</w:t>
      </w:r>
      <w:r>
        <w:rPr>
          <w:rFonts w:hint="eastAsia" w:ascii="宋体" w:hAnsi="宋体"/>
          <w:color w:val="auto"/>
          <w:sz w:val="24"/>
          <w:highlight w:val="none"/>
        </w:rPr>
        <w:tab/>
      </w:r>
      <w:r>
        <w:rPr>
          <w:rFonts w:hint="eastAsia" w:ascii="宋体" w:hAnsi="宋体"/>
          <w:color w:val="auto"/>
          <w:sz w:val="24"/>
          <w:highlight w:val="none"/>
        </w:rPr>
        <w:t>采购人已获得足以支付本次采购后所签订的合同项下的款项（包括财政性资金和自筹资金）。</w:t>
      </w:r>
    </w:p>
    <w:p>
      <w:pPr>
        <w:pStyle w:val="5"/>
        <w:spacing w:before="0" w:after="0" w:line="360" w:lineRule="auto"/>
        <w:ind w:left="901" w:hanging="899"/>
        <w:rPr>
          <w:rFonts w:hAnsi="宋体"/>
          <w:color w:val="auto"/>
          <w:highlight w:val="none"/>
          <w:u w:val="none"/>
        </w:rPr>
      </w:pPr>
      <w:bookmarkStart w:id="26" w:name="_Toc520356145"/>
      <w:bookmarkStart w:id="27" w:name="_Toc199486177"/>
      <w:bookmarkStart w:id="28" w:name="_Toc292886344"/>
      <w:bookmarkStart w:id="29" w:name="_Toc292886184"/>
      <w:bookmarkStart w:id="30" w:name="_Toc367205235"/>
      <w:bookmarkStart w:id="31" w:name="_Toc269551483"/>
      <w:bookmarkStart w:id="32" w:name="_Toc434916117"/>
      <w:r>
        <w:rPr>
          <w:rFonts w:hint="eastAsia" w:hAnsi="宋体"/>
          <w:color w:val="auto"/>
          <w:highlight w:val="none"/>
          <w:u w:val="none"/>
        </w:rPr>
        <w:t>3.</w:t>
      </w:r>
      <w:r>
        <w:rPr>
          <w:rFonts w:hAnsi="宋体"/>
          <w:color w:val="auto"/>
          <w:highlight w:val="none"/>
          <w:u w:val="none"/>
        </w:rPr>
        <w:t xml:space="preserve">     </w:t>
      </w:r>
      <w:r>
        <w:rPr>
          <w:rFonts w:hint="eastAsia" w:hAnsi="宋体"/>
          <w:color w:val="auto"/>
          <w:highlight w:val="none"/>
          <w:u w:val="none"/>
        </w:rPr>
        <w:t>报价费用</w:t>
      </w:r>
      <w:bookmarkEnd w:id="26"/>
      <w:bookmarkEnd w:id="27"/>
      <w:bookmarkEnd w:id="28"/>
      <w:bookmarkEnd w:id="29"/>
      <w:bookmarkEnd w:id="30"/>
      <w:bookmarkEnd w:id="31"/>
      <w:bookmarkEnd w:id="32"/>
    </w:p>
    <w:p>
      <w:pPr>
        <w:spacing w:line="360" w:lineRule="auto"/>
        <w:ind w:left="785" w:hanging="783"/>
        <w:rPr>
          <w:rFonts w:ascii="宋体" w:hAnsi="宋体"/>
          <w:color w:val="auto"/>
          <w:sz w:val="24"/>
          <w:highlight w:val="none"/>
        </w:rPr>
      </w:pPr>
      <w:r>
        <w:rPr>
          <w:rFonts w:hint="eastAsia" w:ascii="宋体" w:hAnsi="宋体"/>
          <w:color w:val="auto"/>
          <w:sz w:val="24"/>
          <w:highlight w:val="none"/>
        </w:rPr>
        <w:t>3.1</w:t>
      </w:r>
      <w:r>
        <w:rPr>
          <w:rFonts w:hint="eastAsia" w:ascii="宋体" w:hAnsi="宋体"/>
          <w:color w:val="auto"/>
          <w:sz w:val="24"/>
          <w:highlight w:val="none"/>
        </w:rPr>
        <w:tab/>
      </w:r>
      <w:r>
        <w:rPr>
          <w:rFonts w:hint="eastAsia" w:ascii="宋体" w:hAnsi="宋体"/>
          <w:color w:val="auto"/>
          <w:sz w:val="24"/>
          <w:highlight w:val="none"/>
        </w:rPr>
        <w:t>单一来源供应商应承担所有与准备和参加报价有关的费用，不论报价的结果如何，采购单位均无承担的义务和责任。</w:t>
      </w:r>
    </w:p>
    <w:p>
      <w:pPr>
        <w:pStyle w:val="3"/>
        <w:spacing w:before="0" w:line="360" w:lineRule="auto"/>
        <w:rPr>
          <w:rFonts w:ascii="宋体" w:hAnsi="宋体" w:eastAsia="宋体"/>
          <w:color w:val="auto"/>
          <w:sz w:val="28"/>
          <w:highlight w:val="none"/>
        </w:rPr>
      </w:pPr>
      <w:bookmarkStart w:id="33" w:name="_Toc434916118"/>
      <w:bookmarkStart w:id="34" w:name="_Toc292886345"/>
      <w:bookmarkStart w:id="35" w:name="_Toc367205236"/>
      <w:bookmarkStart w:id="36" w:name="_Toc520356146"/>
      <w:bookmarkStart w:id="37" w:name="_Toc292886185"/>
      <w:r>
        <w:rPr>
          <w:rFonts w:hint="eastAsia" w:ascii="宋体" w:hAnsi="宋体" w:eastAsia="宋体"/>
          <w:color w:val="auto"/>
          <w:sz w:val="28"/>
          <w:highlight w:val="none"/>
        </w:rPr>
        <w:t>二   采购文件</w:t>
      </w:r>
      <w:bookmarkEnd w:id="33"/>
      <w:bookmarkEnd w:id="34"/>
      <w:bookmarkEnd w:id="35"/>
      <w:bookmarkEnd w:id="36"/>
      <w:bookmarkEnd w:id="37"/>
    </w:p>
    <w:p>
      <w:pPr>
        <w:pStyle w:val="5"/>
        <w:spacing w:before="0" w:after="0" w:line="360" w:lineRule="auto"/>
        <w:ind w:left="899" w:hanging="899"/>
        <w:rPr>
          <w:rFonts w:hAnsi="宋体"/>
          <w:color w:val="auto"/>
          <w:highlight w:val="none"/>
          <w:u w:val="none"/>
        </w:rPr>
      </w:pPr>
      <w:bookmarkStart w:id="38" w:name="_Toc367205237"/>
      <w:bookmarkStart w:id="39" w:name="_Toc434916119"/>
      <w:bookmarkStart w:id="40" w:name="_Toc292886186"/>
      <w:bookmarkStart w:id="41" w:name="_Toc269551485"/>
      <w:bookmarkStart w:id="42" w:name="_Toc292886346"/>
      <w:bookmarkStart w:id="43" w:name="_Toc520356147"/>
      <w:bookmarkStart w:id="44" w:name="_Toc199486179"/>
      <w:r>
        <w:rPr>
          <w:rFonts w:hint="eastAsia" w:hAnsi="宋体"/>
          <w:color w:val="auto"/>
          <w:highlight w:val="none"/>
          <w:u w:val="none"/>
        </w:rPr>
        <w:t>4</w:t>
      </w:r>
      <w:r>
        <w:rPr>
          <w:rFonts w:hAnsi="宋体"/>
          <w:color w:val="auto"/>
          <w:highlight w:val="none"/>
          <w:u w:val="none"/>
        </w:rPr>
        <w:t xml:space="preserve">.     </w:t>
      </w:r>
      <w:r>
        <w:rPr>
          <w:rFonts w:hint="eastAsia" w:hAnsi="宋体"/>
          <w:color w:val="auto"/>
          <w:highlight w:val="none"/>
          <w:u w:val="none"/>
        </w:rPr>
        <w:t>采购文件构成</w:t>
      </w:r>
      <w:bookmarkEnd w:id="38"/>
      <w:bookmarkEnd w:id="39"/>
      <w:bookmarkEnd w:id="40"/>
      <w:bookmarkEnd w:id="41"/>
      <w:bookmarkEnd w:id="42"/>
      <w:bookmarkEnd w:id="43"/>
      <w:bookmarkEnd w:id="44"/>
    </w:p>
    <w:p>
      <w:pPr>
        <w:tabs>
          <w:tab w:val="left" w:pos="900"/>
        </w:tabs>
        <w:spacing w:line="360" w:lineRule="auto"/>
        <w:ind w:left="895" w:hanging="895"/>
        <w:rPr>
          <w:rFonts w:ascii="宋体" w:hAnsi="宋体"/>
          <w:color w:val="auto"/>
          <w:sz w:val="24"/>
          <w:highlight w:val="none"/>
        </w:rPr>
      </w:pPr>
      <w:r>
        <w:rPr>
          <w:rFonts w:hint="eastAsia" w:ascii="宋体" w:hAnsi="宋体"/>
          <w:color w:val="auto"/>
          <w:sz w:val="24"/>
          <w:highlight w:val="none"/>
        </w:rPr>
        <w:t>4.1</w:t>
      </w:r>
      <w:r>
        <w:rPr>
          <w:rFonts w:hint="eastAsia" w:ascii="宋体" w:hAnsi="宋体"/>
          <w:color w:val="auto"/>
          <w:sz w:val="24"/>
          <w:highlight w:val="none"/>
        </w:rPr>
        <w:tab/>
      </w:r>
      <w:r>
        <w:rPr>
          <w:rFonts w:hint="eastAsia" w:ascii="宋体" w:hAnsi="宋体"/>
          <w:color w:val="auto"/>
          <w:sz w:val="24"/>
          <w:highlight w:val="none"/>
        </w:rPr>
        <w:t>要求提供货物的内容及详细技术需求、单一来源供应商须知和合同条件等在采购文件中均有说明。</w:t>
      </w:r>
    </w:p>
    <w:p>
      <w:pPr>
        <w:spacing w:line="360" w:lineRule="auto"/>
        <w:ind w:left="895" w:firstLine="5"/>
        <w:rPr>
          <w:rFonts w:ascii="宋体" w:hAnsi="宋体"/>
          <w:color w:val="auto"/>
          <w:sz w:val="24"/>
          <w:highlight w:val="none"/>
        </w:rPr>
      </w:pPr>
      <w:r>
        <w:rPr>
          <w:rFonts w:hint="eastAsia" w:ascii="宋体" w:hAnsi="宋体"/>
          <w:color w:val="auto"/>
          <w:sz w:val="24"/>
          <w:highlight w:val="none"/>
        </w:rPr>
        <w:t>采购文件共六章，内容如下：</w:t>
      </w:r>
    </w:p>
    <w:p>
      <w:pPr>
        <w:numPr>
          <w:ilvl w:val="0"/>
          <w:numId w:val="4"/>
        </w:numPr>
        <w:spacing w:line="360" w:lineRule="auto"/>
        <w:ind w:left="895" w:firstLine="5"/>
        <w:rPr>
          <w:rFonts w:ascii="宋体" w:hAnsi="宋体"/>
          <w:color w:val="auto"/>
          <w:sz w:val="24"/>
          <w:highlight w:val="none"/>
        </w:rPr>
      </w:pPr>
      <w:r>
        <w:rPr>
          <w:rFonts w:hint="eastAsia" w:ascii="宋体" w:hAnsi="宋体"/>
          <w:color w:val="auto"/>
          <w:sz w:val="24"/>
          <w:highlight w:val="none"/>
        </w:rPr>
        <w:t>　报价邀请</w:t>
      </w:r>
    </w:p>
    <w:p>
      <w:pPr>
        <w:numPr>
          <w:ilvl w:val="0"/>
          <w:numId w:val="4"/>
        </w:numPr>
        <w:spacing w:line="360" w:lineRule="auto"/>
        <w:ind w:left="895" w:firstLine="5"/>
        <w:rPr>
          <w:rFonts w:ascii="宋体" w:hAnsi="宋体"/>
          <w:color w:val="auto"/>
          <w:sz w:val="24"/>
          <w:highlight w:val="none"/>
        </w:rPr>
      </w:pPr>
      <w:r>
        <w:rPr>
          <w:rFonts w:hint="eastAsia" w:ascii="宋体" w:hAnsi="宋体"/>
          <w:color w:val="auto"/>
          <w:sz w:val="24"/>
          <w:highlight w:val="none"/>
        </w:rPr>
        <w:t>　单一来源供应商须知资料表</w:t>
      </w:r>
    </w:p>
    <w:p>
      <w:pPr>
        <w:numPr>
          <w:ilvl w:val="0"/>
          <w:numId w:val="4"/>
        </w:numPr>
        <w:spacing w:line="360" w:lineRule="auto"/>
        <w:ind w:left="895" w:firstLine="5"/>
        <w:rPr>
          <w:rFonts w:ascii="宋体" w:hAnsi="宋体"/>
          <w:color w:val="auto"/>
          <w:sz w:val="24"/>
          <w:highlight w:val="none"/>
        </w:rPr>
      </w:pPr>
      <w:r>
        <w:rPr>
          <w:rFonts w:hint="eastAsia" w:ascii="宋体" w:hAnsi="宋体"/>
          <w:color w:val="auto"/>
          <w:sz w:val="24"/>
          <w:highlight w:val="none"/>
        </w:rPr>
        <w:t>　单一来源供应商须知</w:t>
      </w:r>
    </w:p>
    <w:p>
      <w:pPr>
        <w:numPr>
          <w:ilvl w:val="0"/>
          <w:numId w:val="4"/>
        </w:numPr>
        <w:spacing w:line="360" w:lineRule="auto"/>
        <w:ind w:left="895" w:firstLine="5"/>
        <w:rPr>
          <w:rFonts w:ascii="宋体" w:hAnsi="宋体"/>
          <w:color w:val="auto"/>
          <w:sz w:val="24"/>
          <w:highlight w:val="none"/>
        </w:rPr>
      </w:pPr>
      <w:r>
        <w:rPr>
          <w:rFonts w:hint="eastAsia" w:ascii="宋体" w:hAnsi="宋体"/>
          <w:color w:val="auto"/>
          <w:sz w:val="24"/>
          <w:highlight w:val="none"/>
        </w:rPr>
        <w:t>　采购合同格式</w:t>
      </w:r>
    </w:p>
    <w:p>
      <w:pPr>
        <w:spacing w:line="360" w:lineRule="auto"/>
        <w:ind w:left="895" w:firstLine="5"/>
        <w:rPr>
          <w:rFonts w:ascii="宋体" w:hAnsi="宋体"/>
          <w:color w:val="auto"/>
          <w:sz w:val="24"/>
          <w:highlight w:val="none"/>
        </w:rPr>
      </w:pPr>
      <w:r>
        <w:rPr>
          <w:rFonts w:hint="eastAsia" w:ascii="宋体" w:hAnsi="宋体"/>
          <w:color w:val="auto"/>
          <w:sz w:val="24"/>
          <w:highlight w:val="none"/>
        </w:rPr>
        <w:t>第五章</w:t>
      </w:r>
      <w:r>
        <w:rPr>
          <w:rFonts w:hint="eastAsia" w:ascii="宋体" w:hAnsi="宋体"/>
          <w:color w:val="auto"/>
          <w:sz w:val="24"/>
          <w:highlight w:val="none"/>
        </w:rPr>
        <w:tab/>
      </w:r>
      <w:r>
        <w:rPr>
          <w:rFonts w:hint="eastAsia" w:ascii="宋体" w:hAnsi="宋体"/>
          <w:color w:val="auto"/>
          <w:sz w:val="24"/>
          <w:highlight w:val="none"/>
        </w:rPr>
        <w:t>　技术需求说明</w:t>
      </w:r>
    </w:p>
    <w:p>
      <w:pPr>
        <w:spacing w:line="360" w:lineRule="auto"/>
        <w:ind w:left="895" w:leftChars="426"/>
        <w:rPr>
          <w:rFonts w:ascii="宋体" w:hAnsi="宋体"/>
          <w:color w:val="auto"/>
          <w:sz w:val="24"/>
          <w:highlight w:val="none"/>
        </w:rPr>
      </w:pPr>
      <w:r>
        <w:rPr>
          <w:rFonts w:hint="eastAsia" w:ascii="宋体" w:hAnsi="宋体"/>
          <w:color w:val="auto"/>
          <w:sz w:val="24"/>
          <w:highlight w:val="none"/>
        </w:rPr>
        <w:t>第六章   附件——报价文件格式</w:t>
      </w:r>
    </w:p>
    <w:p>
      <w:pPr>
        <w:tabs>
          <w:tab w:val="left" w:pos="900"/>
        </w:tabs>
        <w:spacing w:line="360" w:lineRule="auto"/>
        <w:ind w:left="893" w:hanging="893"/>
        <w:rPr>
          <w:rFonts w:ascii="宋体" w:hAnsi="宋体"/>
          <w:color w:val="auto"/>
          <w:sz w:val="24"/>
          <w:highlight w:val="none"/>
        </w:rPr>
      </w:pPr>
      <w:r>
        <w:rPr>
          <w:rFonts w:hint="eastAsia" w:ascii="宋体" w:hAnsi="宋体"/>
          <w:color w:val="auto"/>
          <w:sz w:val="24"/>
          <w:highlight w:val="none"/>
        </w:rPr>
        <w:t>4.2</w:t>
      </w:r>
      <w:r>
        <w:rPr>
          <w:rFonts w:hint="eastAsia" w:ascii="宋体" w:hAnsi="宋体"/>
          <w:color w:val="auto"/>
          <w:sz w:val="24"/>
          <w:highlight w:val="none"/>
        </w:rPr>
        <w:tab/>
      </w:r>
      <w:r>
        <w:rPr>
          <w:rFonts w:hint="eastAsia" w:ascii="宋体" w:hAnsi="宋体"/>
          <w:color w:val="auto"/>
          <w:sz w:val="24"/>
          <w:highlight w:val="none"/>
        </w:rPr>
        <w:t>单一来源供应商应认真阅读采购文件所有的事项、格式、条款和技术规范等。</w:t>
      </w:r>
      <w:r>
        <w:rPr>
          <w:rFonts w:ascii="宋体" w:hAnsi="宋体"/>
          <w:color w:val="auto"/>
          <w:sz w:val="24"/>
          <w:highlight w:val="none"/>
        </w:rPr>
        <w:t>如果</w:t>
      </w:r>
      <w:r>
        <w:rPr>
          <w:rFonts w:hint="eastAsia" w:ascii="宋体" w:hAnsi="宋体"/>
          <w:color w:val="auto"/>
          <w:sz w:val="24"/>
          <w:highlight w:val="none"/>
        </w:rPr>
        <w:t>单一来源供应商</w:t>
      </w:r>
      <w:r>
        <w:rPr>
          <w:rFonts w:ascii="宋体" w:hAnsi="宋体"/>
          <w:color w:val="auto"/>
          <w:sz w:val="24"/>
          <w:highlight w:val="none"/>
        </w:rPr>
        <w:t>的报价文件不能完全满足本采购文件的要求，责任由</w:t>
      </w:r>
      <w:r>
        <w:rPr>
          <w:rFonts w:hint="eastAsia" w:ascii="宋体" w:hAnsi="宋体"/>
          <w:color w:val="auto"/>
          <w:sz w:val="24"/>
          <w:highlight w:val="none"/>
        </w:rPr>
        <w:t>单一来源供应商</w:t>
      </w:r>
      <w:r>
        <w:rPr>
          <w:rFonts w:ascii="宋体" w:hAnsi="宋体"/>
          <w:color w:val="auto"/>
          <w:sz w:val="24"/>
          <w:highlight w:val="none"/>
        </w:rPr>
        <w:t>自负。</w:t>
      </w:r>
      <w:r>
        <w:rPr>
          <w:rFonts w:hint="eastAsia" w:ascii="宋体" w:hAnsi="宋体"/>
          <w:color w:val="auto"/>
          <w:sz w:val="24"/>
          <w:highlight w:val="none"/>
        </w:rPr>
        <w:t>如单一来源供应商没有按照采购文件要求提交全部资料，或者报价文件没有对采购文件在各方面都做出实质性响应是单一来源供应商的风险，并可能导致其报价被拒绝。</w:t>
      </w:r>
    </w:p>
    <w:p>
      <w:pPr>
        <w:pStyle w:val="5"/>
        <w:spacing w:before="0" w:after="0" w:line="360" w:lineRule="auto"/>
        <w:ind w:left="899" w:hanging="899"/>
        <w:rPr>
          <w:rFonts w:hAnsi="宋体"/>
          <w:color w:val="auto"/>
          <w:highlight w:val="none"/>
          <w:u w:val="none"/>
        </w:rPr>
      </w:pPr>
      <w:bookmarkStart w:id="45" w:name="_Toc199486180"/>
      <w:bookmarkStart w:id="46" w:name="_Toc269551486"/>
      <w:bookmarkStart w:id="47" w:name="_Toc520356148"/>
      <w:bookmarkStart w:id="48" w:name="_Toc292886187"/>
      <w:bookmarkStart w:id="49" w:name="_Toc367205238"/>
      <w:bookmarkStart w:id="50" w:name="_Toc434916120"/>
      <w:bookmarkStart w:id="51" w:name="_Toc292886347"/>
      <w:r>
        <w:rPr>
          <w:rFonts w:hint="eastAsia" w:hAnsi="宋体"/>
          <w:color w:val="auto"/>
          <w:highlight w:val="none"/>
          <w:u w:val="none"/>
        </w:rPr>
        <w:t>5</w:t>
      </w:r>
      <w:r>
        <w:rPr>
          <w:rFonts w:hAnsi="宋体"/>
          <w:color w:val="auto"/>
          <w:highlight w:val="none"/>
          <w:u w:val="none"/>
        </w:rPr>
        <w:t xml:space="preserve">.     </w:t>
      </w:r>
      <w:r>
        <w:rPr>
          <w:rFonts w:hint="eastAsia" w:hAnsi="宋体"/>
          <w:color w:val="auto"/>
          <w:highlight w:val="none"/>
          <w:u w:val="none"/>
        </w:rPr>
        <w:t>采购文件的澄清</w:t>
      </w:r>
      <w:bookmarkEnd w:id="45"/>
      <w:bookmarkEnd w:id="46"/>
      <w:bookmarkEnd w:id="47"/>
      <w:bookmarkEnd w:id="48"/>
      <w:bookmarkEnd w:id="49"/>
      <w:bookmarkEnd w:id="50"/>
      <w:bookmarkEnd w:id="51"/>
      <w:r>
        <w:rPr>
          <w:rFonts w:hint="eastAsia" w:hAnsi="宋体"/>
          <w:color w:val="auto"/>
          <w:highlight w:val="none"/>
          <w:u w:val="none"/>
        </w:rPr>
        <w:t>、</w:t>
      </w:r>
      <w:r>
        <w:rPr>
          <w:rFonts w:hAnsi="宋体"/>
          <w:color w:val="auto"/>
          <w:highlight w:val="none"/>
          <w:u w:val="none"/>
        </w:rPr>
        <w:t>询问</w:t>
      </w:r>
    </w:p>
    <w:p>
      <w:pPr>
        <w:spacing w:line="360" w:lineRule="auto"/>
        <w:ind w:left="895" w:hanging="895"/>
        <w:rPr>
          <w:rFonts w:ascii="宋体" w:hAnsi="宋体"/>
          <w:color w:val="auto"/>
          <w:sz w:val="24"/>
          <w:highlight w:val="none"/>
        </w:rPr>
      </w:pPr>
      <w:r>
        <w:rPr>
          <w:rFonts w:hint="eastAsia" w:ascii="宋体" w:hAnsi="宋体"/>
          <w:color w:val="auto"/>
          <w:sz w:val="24"/>
          <w:highlight w:val="none"/>
        </w:rPr>
        <w:t>5.1    采购文件</w:t>
      </w:r>
      <w:r>
        <w:rPr>
          <w:rFonts w:ascii="宋体" w:hAnsi="宋体"/>
          <w:color w:val="auto"/>
          <w:sz w:val="24"/>
          <w:highlight w:val="none"/>
        </w:rPr>
        <w:t>的澄清</w:t>
      </w:r>
    </w:p>
    <w:p>
      <w:pPr>
        <w:spacing w:line="360" w:lineRule="auto"/>
        <w:ind w:left="105" w:leftChars="50" w:firstLine="720" w:firstLineChars="300"/>
        <w:rPr>
          <w:rFonts w:ascii="宋体" w:hAnsi="宋体"/>
          <w:color w:val="auto"/>
          <w:sz w:val="24"/>
          <w:highlight w:val="none"/>
        </w:rPr>
      </w:pPr>
      <w:r>
        <w:rPr>
          <w:rFonts w:hint="eastAsia" w:ascii="宋体" w:hAnsi="宋体"/>
          <w:color w:val="auto"/>
          <w:sz w:val="24"/>
          <w:highlight w:val="none"/>
        </w:rPr>
        <w:t>单一来源供应商要求对采购文件进行澄清的，应以书面形式通知采购单位。采购单位对收到的澄清要求以书面形式予以答复。</w:t>
      </w:r>
    </w:p>
    <w:p>
      <w:pPr>
        <w:pStyle w:val="5"/>
        <w:tabs>
          <w:tab w:val="left" w:pos="900"/>
        </w:tabs>
        <w:spacing w:before="0" w:after="0" w:line="360" w:lineRule="auto"/>
        <w:ind w:left="899" w:hanging="899"/>
        <w:rPr>
          <w:rFonts w:hAnsi="宋体"/>
          <w:color w:val="auto"/>
          <w:highlight w:val="none"/>
          <w:u w:val="none"/>
        </w:rPr>
      </w:pPr>
      <w:bookmarkStart w:id="52" w:name="_Toc292886188"/>
      <w:bookmarkStart w:id="53" w:name="_Toc269551487"/>
      <w:bookmarkStart w:id="54" w:name="_Toc520356149"/>
      <w:bookmarkStart w:id="55" w:name="_Toc292886348"/>
      <w:bookmarkStart w:id="56" w:name="_Toc434916121"/>
      <w:bookmarkStart w:id="57" w:name="_Toc199486181"/>
      <w:bookmarkStart w:id="58" w:name="_Ref467378678"/>
      <w:bookmarkStart w:id="59" w:name="_Toc367205239"/>
      <w:r>
        <w:rPr>
          <w:rFonts w:hint="eastAsia" w:hAnsi="宋体"/>
          <w:color w:val="auto"/>
          <w:highlight w:val="none"/>
          <w:u w:val="none"/>
        </w:rPr>
        <w:t>6</w:t>
      </w:r>
      <w:r>
        <w:rPr>
          <w:rFonts w:hAnsi="宋体"/>
          <w:color w:val="auto"/>
          <w:highlight w:val="none"/>
          <w:u w:val="none"/>
        </w:rPr>
        <w:t xml:space="preserve">.     </w:t>
      </w:r>
      <w:r>
        <w:rPr>
          <w:rFonts w:hint="eastAsia" w:hAnsi="宋体"/>
          <w:color w:val="auto"/>
          <w:highlight w:val="none"/>
          <w:u w:val="none"/>
        </w:rPr>
        <w:t>采购文件的修改</w:t>
      </w:r>
      <w:bookmarkEnd w:id="52"/>
      <w:bookmarkEnd w:id="53"/>
      <w:bookmarkEnd w:id="54"/>
      <w:bookmarkEnd w:id="55"/>
      <w:bookmarkEnd w:id="56"/>
      <w:bookmarkEnd w:id="57"/>
      <w:bookmarkEnd w:id="58"/>
      <w:bookmarkEnd w:id="59"/>
    </w:p>
    <w:p>
      <w:pPr>
        <w:pStyle w:val="8"/>
        <w:tabs>
          <w:tab w:val="left" w:pos="900"/>
          <w:tab w:val="clear" w:pos="567"/>
        </w:tabs>
        <w:spacing w:before="0" w:line="360" w:lineRule="auto"/>
        <w:ind w:left="895" w:hanging="895"/>
        <w:rPr>
          <w:color w:val="auto"/>
          <w:highlight w:val="none"/>
        </w:rPr>
      </w:pPr>
      <w:r>
        <w:rPr>
          <w:rFonts w:hint="eastAsia"/>
          <w:color w:val="auto"/>
          <w:highlight w:val="none"/>
        </w:rPr>
        <w:t>6.1</w:t>
      </w:r>
      <w:r>
        <w:rPr>
          <w:rFonts w:hint="eastAsia"/>
          <w:color w:val="auto"/>
          <w:highlight w:val="none"/>
        </w:rPr>
        <w:tab/>
      </w:r>
      <w:r>
        <w:rPr>
          <w:rFonts w:hint="eastAsia"/>
          <w:color w:val="auto"/>
          <w:highlight w:val="none"/>
        </w:rPr>
        <w:t>在递交报价文件截止日期前，采购单位可主动地或在解答单一来源供应商提出的澄清问题时对采购文件进行修改，修改的内容作为采购文件的组成部分。</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6.2</w:t>
      </w:r>
      <w:r>
        <w:rPr>
          <w:rFonts w:hint="eastAsia" w:ascii="宋体" w:hAnsi="宋体"/>
          <w:color w:val="auto"/>
          <w:sz w:val="24"/>
          <w:highlight w:val="none"/>
        </w:rPr>
        <w:tab/>
      </w:r>
      <w:r>
        <w:rPr>
          <w:rFonts w:hint="eastAsia" w:ascii="宋体" w:hAnsi="宋体"/>
          <w:color w:val="auto"/>
          <w:sz w:val="24"/>
          <w:highlight w:val="none"/>
        </w:rPr>
        <w:t>采购文件的修改应以书面形式通知单一来源供应商，并对其具有约束力。单一来源供应商在收到上述通知后，应立即向采购单位回函确认。</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6.3</w:t>
      </w:r>
      <w:r>
        <w:rPr>
          <w:rFonts w:hint="eastAsia" w:ascii="宋体" w:hAnsi="宋体"/>
          <w:color w:val="auto"/>
          <w:sz w:val="24"/>
          <w:highlight w:val="none"/>
        </w:rPr>
        <w:tab/>
      </w:r>
      <w:r>
        <w:rPr>
          <w:rFonts w:hint="eastAsia" w:ascii="宋体" w:hAnsi="宋体"/>
          <w:color w:val="auto"/>
          <w:sz w:val="24"/>
          <w:highlight w:val="none"/>
        </w:rPr>
        <w:t>为使单一来源供应商准备报价时有足够的时间对采购文件的修改部分进行研究，采购单位有权决定是否延长报价截止期。</w:t>
      </w:r>
    </w:p>
    <w:p>
      <w:pPr>
        <w:pStyle w:val="3"/>
        <w:tabs>
          <w:tab w:val="left" w:pos="900"/>
        </w:tabs>
        <w:spacing w:before="0" w:line="360" w:lineRule="auto"/>
        <w:ind w:left="1054" w:hanging="1054"/>
        <w:rPr>
          <w:rFonts w:ascii="宋体" w:hAnsi="宋体" w:eastAsia="宋体"/>
          <w:color w:val="auto"/>
          <w:sz w:val="28"/>
          <w:highlight w:val="none"/>
        </w:rPr>
      </w:pPr>
      <w:bookmarkStart w:id="60" w:name="_Toc516367020"/>
      <w:bookmarkStart w:id="61" w:name="_Toc292886189"/>
      <w:bookmarkStart w:id="62" w:name="_Toc520356150"/>
      <w:bookmarkStart w:id="63" w:name="_Toc367205240"/>
      <w:bookmarkStart w:id="64" w:name="_Toc434916122"/>
      <w:bookmarkStart w:id="65" w:name="_Toc292886349"/>
      <w:r>
        <w:rPr>
          <w:rFonts w:hint="eastAsia" w:ascii="宋体" w:hAnsi="宋体" w:eastAsia="宋体"/>
          <w:color w:val="auto"/>
          <w:sz w:val="28"/>
          <w:highlight w:val="none"/>
        </w:rPr>
        <w:t>三   报价文件</w:t>
      </w:r>
      <w:bookmarkEnd w:id="60"/>
      <w:r>
        <w:rPr>
          <w:rFonts w:hint="eastAsia" w:ascii="宋体" w:hAnsi="宋体" w:eastAsia="宋体"/>
          <w:color w:val="auto"/>
          <w:sz w:val="28"/>
          <w:highlight w:val="none"/>
        </w:rPr>
        <w:t>的编制</w:t>
      </w:r>
      <w:bookmarkEnd w:id="61"/>
      <w:bookmarkEnd w:id="62"/>
      <w:bookmarkEnd w:id="63"/>
      <w:bookmarkEnd w:id="64"/>
      <w:bookmarkEnd w:id="65"/>
    </w:p>
    <w:p>
      <w:pPr>
        <w:pStyle w:val="5"/>
        <w:tabs>
          <w:tab w:val="left" w:pos="900"/>
        </w:tabs>
        <w:spacing w:before="0" w:after="0" w:line="360" w:lineRule="auto"/>
        <w:ind w:left="904" w:hanging="904"/>
        <w:rPr>
          <w:rFonts w:hAnsi="宋体"/>
          <w:color w:val="auto"/>
          <w:highlight w:val="none"/>
          <w:u w:val="none"/>
        </w:rPr>
      </w:pPr>
      <w:bookmarkStart w:id="66" w:name="_Toc520356151"/>
      <w:bookmarkStart w:id="67" w:name="_Toc516367021"/>
      <w:bookmarkStart w:id="68" w:name="_Toc269551489"/>
      <w:bookmarkStart w:id="69" w:name="_Toc292886350"/>
      <w:bookmarkStart w:id="70" w:name="_Toc367205241"/>
      <w:bookmarkStart w:id="71" w:name="_Toc434916123"/>
      <w:bookmarkStart w:id="72" w:name="_Toc199486183"/>
      <w:bookmarkStart w:id="73" w:name="_Toc292886190"/>
      <w:r>
        <w:rPr>
          <w:rFonts w:hint="eastAsia" w:hAnsi="宋体"/>
          <w:color w:val="auto"/>
          <w:highlight w:val="none"/>
          <w:u w:val="none"/>
        </w:rPr>
        <w:t>7.</w:t>
      </w:r>
      <w:r>
        <w:rPr>
          <w:rFonts w:hint="eastAsia" w:hAnsi="宋体"/>
          <w:color w:val="auto"/>
          <w:highlight w:val="none"/>
          <w:u w:val="none"/>
        </w:rPr>
        <w:tab/>
      </w:r>
      <w:r>
        <w:rPr>
          <w:rFonts w:hint="eastAsia" w:hAnsi="宋体"/>
          <w:color w:val="auto"/>
          <w:highlight w:val="none"/>
          <w:u w:val="none"/>
        </w:rPr>
        <w:t>报价范围及报价文件中计量单位的使用</w:t>
      </w:r>
      <w:bookmarkEnd w:id="66"/>
      <w:bookmarkEnd w:id="67"/>
      <w:bookmarkEnd w:id="68"/>
      <w:bookmarkEnd w:id="69"/>
      <w:bookmarkEnd w:id="70"/>
      <w:bookmarkEnd w:id="71"/>
      <w:bookmarkEnd w:id="72"/>
      <w:bookmarkEnd w:id="73"/>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7.1</w:t>
      </w:r>
      <w:r>
        <w:rPr>
          <w:rFonts w:hint="eastAsia" w:ascii="宋体" w:hAnsi="宋体"/>
          <w:color w:val="auto"/>
          <w:sz w:val="24"/>
          <w:highlight w:val="none"/>
        </w:rPr>
        <w:tab/>
      </w:r>
      <w:r>
        <w:rPr>
          <w:rFonts w:hint="eastAsia" w:ascii="宋体" w:hAnsi="宋体"/>
          <w:color w:val="auto"/>
          <w:sz w:val="24"/>
          <w:highlight w:val="none"/>
        </w:rPr>
        <w:t>单一来源供应商只可对采购文件中所列对应的包号进行报价。各包单一来源供应商须对对应包号的全部内容进行报价，不得只对其中一部分内容进行报价。</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7.2</w:t>
      </w:r>
      <w:r>
        <w:rPr>
          <w:rFonts w:hint="eastAsia" w:ascii="宋体" w:hAnsi="宋体"/>
          <w:color w:val="auto"/>
          <w:sz w:val="24"/>
          <w:highlight w:val="none"/>
        </w:rPr>
        <w:tab/>
      </w:r>
      <w:r>
        <w:rPr>
          <w:rFonts w:hint="eastAsia" w:ascii="宋体" w:hAnsi="宋体"/>
          <w:color w:val="auto"/>
          <w:sz w:val="24"/>
          <w:highlight w:val="none"/>
        </w:rPr>
        <w:t>报价文件中所使用的计量单位，除采购文件中有特殊要求外，应采用中华人民共和国法定计量单位。</w:t>
      </w:r>
    </w:p>
    <w:p>
      <w:pPr>
        <w:pStyle w:val="5"/>
        <w:tabs>
          <w:tab w:val="left" w:pos="900"/>
        </w:tabs>
        <w:spacing w:before="0" w:after="0" w:line="360" w:lineRule="auto"/>
        <w:ind w:left="899" w:hanging="899"/>
        <w:rPr>
          <w:rFonts w:hAnsi="宋体"/>
          <w:color w:val="auto"/>
          <w:highlight w:val="none"/>
          <w:u w:val="none"/>
        </w:rPr>
      </w:pPr>
      <w:bookmarkStart w:id="74" w:name="_Toc516367022"/>
      <w:bookmarkStart w:id="75" w:name="_Ref467306676"/>
      <w:bookmarkStart w:id="76" w:name="_Ref467306195"/>
      <w:bookmarkStart w:id="77" w:name="_Toc520356152"/>
      <w:bookmarkStart w:id="78" w:name="_Toc199486184"/>
      <w:bookmarkStart w:id="79" w:name="_Toc269551490"/>
      <w:bookmarkStart w:id="80" w:name="_Toc292886351"/>
      <w:bookmarkStart w:id="81" w:name="_Toc292886191"/>
      <w:bookmarkStart w:id="82" w:name="_Toc367205242"/>
      <w:bookmarkStart w:id="83" w:name="_Toc434916124"/>
      <w:r>
        <w:rPr>
          <w:rFonts w:hint="eastAsia" w:hAnsi="宋体"/>
          <w:color w:val="auto"/>
          <w:highlight w:val="none"/>
          <w:u w:val="none"/>
        </w:rPr>
        <w:t>8.</w:t>
      </w:r>
      <w:r>
        <w:rPr>
          <w:rFonts w:hint="eastAsia" w:hAnsi="宋体"/>
          <w:color w:val="auto"/>
          <w:highlight w:val="none"/>
          <w:u w:val="none"/>
        </w:rPr>
        <w:tab/>
      </w:r>
      <w:r>
        <w:rPr>
          <w:rFonts w:hint="eastAsia" w:hAnsi="宋体"/>
          <w:color w:val="auto"/>
          <w:highlight w:val="none"/>
          <w:u w:val="none"/>
        </w:rPr>
        <w:t>报价文件</w:t>
      </w:r>
      <w:bookmarkEnd w:id="74"/>
      <w:bookmarkEnd w:id="75"/>
      <w:bookmarkEnd w:id="76"/>
      <w:r>
        <w:rPr>
          <w:rFonts w:hint="eastAsia" w:hAnsi="宋体"/>
          <w:color w:val="auto"/>
          <w:highlight w:val="none"/>
          <w:u w:val="none"/>
        </w:rPr>
        <w:t>构成</w:t>
      </w:r>
      <w:bookmarkEnd w:id="77"/>
      <w:bookmarkEnd w:id="78"/>
      <w:bookmarkEnd w:id="79"/>
      <w:bookmarkEnd w:id="80"/>
      <w:bookmarkEnd w:id="81"/>
      <w:bookmarkEnd w:id="82"/>
      <w:bookmarkEnd w:id="83"/>
    </w:p>
    <w:p>
      <w:pPr>
        <w:tabs>
          <w:tab w:val="left" w:pos="900"/>
        </w:tabs>
        <w:spacing w:line="360" w:lineRule="auto"/>
        <w:ind w:left="900" w:hanging="900"/>
        <w:rPr>
          <w:rFonts w:ascii="宋体" w:hAnsi="宋体"/>
          <w:color w:val="auto"/>
          <w:sz w:val="24"/>
          <w:highlight w:val="none"/>
        </w:rPr>
      </w:pPr>
      <w:bookmarkStart w:id="84" w:name="_Ref467052588"/>
      <w:r>
        <w:rPr>
          <w:rFonts w:hint="eastAsia" w:ascii="宋体" w:hAnsi="宋体"/>
          <w:color w:val="auto"/>
          <w:sz w:val="24"/>
          <w:highlight w:val="none"/>
        </w:rPr>
        <w:t>8.1</w:t>
      </w:r>
      <w:r>
        <w:rPr>
          <w:rFonts w:hint="eastAsia" w:ascii="宋体" w:hAnsi="宋体"/>
          <w:color w:val="auto"/>
          <w:sz w:val="24"/>
          <w:highlight w:val="none"/>
        </w:rPr>
        <w:tab/>
      </w:r>
      <w:r>
        <w:rPr>
          <w:rFonts w:hint="eastAsia" w:ascii="宋体" w:hAnsi="宋体"/>
          <w:color w:val="auto"/>
          <w:sz w:val="24"/>
          <w:highlight w:val="none"/>
        </w:rPr>
        <w:t>单一来源供应商应完整地按采购文件提供的报价文件格式填写报价文件，胶装成册，报价文件应包括以下内容</w:t>
      </w:r>
      <w:bookmarkEnd w:id="84"/>
      <w:r>
        <w:rPr>
          <w:rFonts w:hint="eastAsia" w:ascii="宋体" w:hAnsi="宋体"/>
          <w:color w:val="auto"/>
          <w:sz w:val="24"/>
          <w:highlight w:val="none"/>
        </w:rPr>
        <w:t>：</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附件1——报价书（格式）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附件2——报价一览表（格式）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附件3——分项报价表（格式）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附件4——技术规格偏离表（格式）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附件5——商务条款偏离表（格式）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附件6——法定代表人授权书（格式）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附件7——资格证明文件</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8.2除上述8.1条外，报价文件还应包括本须知第9条的所有文件。</w:t>
      </w:r>
    </w:p>
    <w:p>
      <w:pPr>
        <w:pStyle w:val="5"/>
        <w:numPr>
          <w:ilvl w:val="0"/>
          <w:numId w:val="5"/>
        </w:numPr>
        <w:spacing w:before="0" w:after="0" w:line="360" w:lineRule="auto"/>
        <w:rPr>
          <w:rFonts w:hAnsi="宋体"/>
          <w:color w:val="auto"/>
          <w:highlight w:val="none"/>
          <w:u w:val="none"/>
        </w:rPr>
      </w:pPr>
      <w:bookmarkStart w:id="85" w:name="_Toc520356153"/>
      <w:bookmarkStart w:id="86" w:name="_Toc269551491"/>
      <w:bookmarkStart w:id="87" w:name="_Toc292886352"/>
      <w:bookmarkStart w:id="88" w:name="_Toc199486185"/>
      <w:bookmarkStart w:id="89" w:name="_Toc292886192"/>
      <w:bookmarkStart w:id="90" w:name="_Toc367205243"/>
      <w:bookmarkStart w:id="91" w:name="_Toc516367023"/>
      <w:bookmarkStart w:id="92" w:name="_Toc434916125"/>
      <w:r>
        <w:rPr>
          <w:rFonts w:hint="eastAsia" w:hAnsi="宋体"/>
          <w:color w:val="auto"/>
          <w:highlight w:val="none"/>
          <w:u w:val="none"/>
        </w:rPr>
        <w:t>证明货物的合格性和符合采购文件规定的文件</w:t>
      </w:r>
      <w:bookmarkEnd w:id="85"/>
      <w:bookmarkEnd w:id="86"/>
      <w:bookmarkEnd w:id="87"/>
      <w:bookmarkEnd w:id="88"/>
      <w:bookmarkEnd w:id="89"/>
      <w:bookmarkEnd w:id="90"/>
      <w:bookmarkEnd w:id="91"/>
      <w:bookmarkEnd w:id="92"/>
    </w:p>
    <w:p>
      <w:pPr>
        <w:spacing w:line="360" w:lineRule="auto"/>
        <w:ind w:left="900" w:hanging="900"/>
        <w:rPr>
          <w:rFonts w:ascii="宋体" w:hAnsi="宋体"/>
          <w:color w:val="auto"/>
          <w:sz w:val="24"/>
          <w:highlight w:val="none"/>
        </w:rPr>
      </w:pPr>
      <w:r>
        <w:rPr>
          <w:rFonts w:hint="eastAsia" w:ascii="宋体" w:hAnsi="宋体"/>
          <w:color w:val="auto"/>
          <w:sz w:val="24"/>
          <w:highlight w:val="none"/>
        </w:rPr>
        <w:t>9.1</w:t>
      </w:r>
      <w:r>
        <w:rPr>
          <w:rFonts w:hint="eastAsia" w:ascii="宋体" w:hAnsi="宋体"/>
          <w:color w:val="auto"/>
          <w:sz w:val="24"/>
          <w:highlight w:val="none"/>
        </w:rPr>
        <w:tab/>
      </w:r>
      <w:r>
        <w:rPr>
          <w:rFonts w:hint="eastAsia" w:ascii="宋体" w:hAnsi="宋体"/>
          <w:color w:val="auto"/>
          <w:sz w:val="24"/>
          <w:highlight w:val="none"/>
        </w:rPr>
        <w:t>单一来源供应商应提交证明文件，证明其拟提供的合同项下服务的合格性符合采购文件规定。该证明文件是报价文件的一部分。</w:t>
      </w:r>
    </w:p>
    <w:p>
      <w:pPr>
        <w:spacing w:line="360" w:lineRule="auto"/>
        <w:ind w:left="900" w:hanging="900"/>
        <w:rPr>
          <w:rFonts w:ascii="宋体" w:hAnsi="宋体"/>
          <w:color w:val="auto"/>
          <w:sz w:val="24"/>
          <w:highlight w:val="none"/>
        </w:rPr>
      </w:pPr>
      <w:bookmarkStart w:id="93" w:name="_Ref467306244"/>
      <w:r>
        <w:rPr>
          <w:rFonts w:hint="eastAsia" w:ascii="宋体" w:hAnsi="宋体"/>
          <w:color w:val="auto"/>
          <w:sz w:val="24"/>
          <w:highlight w:val="none"/>
        </w:rPr>
        <w:t>9.2</w:t>
      </w:r>
      <w:r>
        <w:rPr>
          <w:rFonts w:hint="eastAsia" w:ascii="宋体" w:hAnsi="宋体"/>
          <w:color w:val="auto"/>
          <w:sz w:val="24"/>
          <w:highlight w:val="none"/>
        </w:rPr>
        <w:tab/>
      </w:r>
      <w:r>
        <w:rPr>
          <w:rFonts w:hint="eastAsia" w:ascii="宋体" w:hAnsi="宋体"/>
          <w:color w:val="auto"/>
          <w:sz w:val="24"/>
          <w:highlight w:val="none"/>
        </w:rPr>
        <w:t>上款所述的证明文件，可以是文字资料、图纸和数据</w:t>
      </w:r>
      <w:bookmarkEnd w:id="93"/>
      <w:r>
        <w:rPr>
          <w:rFonts w:hint="eastAsia" w:ascii="宋体" w:hAnsi="宋体"/>
          <w:color w:val="auto"/>
          <w:sz w:val="24"/>
          <w:highlight w:val="none"/>
        </w:rPr>
        <w:t>等，它包括：</w:t>
      </w:r>
    </w:p>
    <w:p>
      <w:pPr>
        <w:spacing w:line="360" w:lineRule="auto"/>
        <w:ind w:left="900" w:hanging="900"/>
        <w:rPr>
          <w:rFonts w:ascii="宋体" w:hAnsi="宋体"/>
          <w:color w:val="auto"/>
          <w:sz w:val="24"/>
          <w:highlight w:val="none"/>
        </w:rPr>
      </w:pPr>
      <w:r>
        <w:rPr>
          <w:rFonts w:ascii="宋体" w:hAnsi="宋体"/>
          <w:color w:val="auto"/>
          <w:sz w:val="24"/>
          <w:highlight w:val="none"/>
        </w:rPr>
        <w:t>9.2.1</w:t>
      </w:r>
      <w:r>
        <w:rPr>
          <w:rFonts w:ascii="宋体" w:hAnsi="宋体"/>
          <w:color w:val="auto"/>
          <w:sz w:val="24"/>
          <w:highlight w:val="none"/>
        </w:rPr>
        <w:tab/>
      </w:r>
      <w:r>
        <w:rPr>
          <w:rFonts w:hint="eastAsia" w:ascii="宋体" w:hAnsi="宋体"/>
          <w:color w:val="auto"/>
          <w:sz w:val="24"/>
          <w:highlight w:val="none"/>
        </w:rPr>
        <w:t>货物主要技术指标和性能的详细说明；</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9.2.</w:t>
      </w:r>
      <w:r>
        <w:rPr>
          <w:rFonts w:ascii="宋体" w:hAnsi="宋体"/>
          <w:color w:val="auto"/>
          <w:sz w:val="24"/>
          <w:highlight w:val="none"/>
        </w:rPr>
        <w:t>2</w:t>
      </w:r>
      <w:r>
        <w:rPr>
          <w:rFonts w:hint="eastAsia" w:ascii="宋体" w:hAnsi="宋体"/>
          <w:color w:val="auto"/>
          <w:sz w:val="24"/>
          <w:highlight w:val="none"/>
        </w:rPr>
        <w:tab/>
      </w:r>
      <w:r>
        <w:rPr>
          <w:rFonts w:hint="eastAsia" w:ascii="宋体" w:hAnsi="宋体"/>
          <w:color w:val="auto"/>
          <w:sz w:val="24"/>
          <w:highlight w:val="none"/>
        </w:rPr>
        <w:t>对照采购文件技术规格，逐条说明所提供货物和服务已对采购文件的技术规格做出了实质性的响应，或申明与技术规格条文的偏差和例外。</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9</w:t>
      </w:r>
      <w:r>
        <w:rPr>
          <w:rFonts w:ascii="宋体" w:hAnsi="宋体"/>
          <w:color w:val="auto"/>
          <w:sz w:val="24"/>
          <w:highlight w:val="none"/>
        </w:rPr>
        <w:t xml:space="preserve">.2.3   </w:t>
      </w:r>
      <w:r>
        <w:rPr>
          <w:rFonts w:hint="eastAsia" w:ascii="宋体" w:hAnsi="宋体"/>
          <w:color w:val="auto"/>
          <w:sz w:val="24"/>
          <w:highlight w:val="none"/>
        </w:rPr>
        <w:t>采购文件要求的或者供应商认为必要的其它技术内容。</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9.3</w:t>
      </w:r>
      <w:r>
        <w:rPr>
          <w:rFonts w:hint="eastAsia" w:ascii="宋体" w:hAnsi="宋体"/>
          <w:color w:val="auto"/>
          <w:sz w:val="24"/>
          <w:highlight w:val="none"/>
        </w:rPr>
        <w:tab/>
      </w:r>
      <w:r>
        <w:rPr>
          <w:rFonts w:hint="eastAsia" w:ascii="宋体" w:hAnsi="宋体"/>
          <w:color w:val="auto"/>
          <w:sz w:val="24"/>
          <w:highlight w:val="none"/>
        </w:rPr>
        <w:t>供应商应注意采购人在技术规格中指出的工艺、材料和设备的标准，以及参照的牌号或分类号仅起说明作用，并没有任何限制性。供应商在报价文件中可以选用替代标准、牌号或分类号，但这些替代要实质上相当于技术规格的要求。</w:t>
      </w:r>
    </w:p>
    <w:p>
      <w:pPr>
        <w:pStyle w:val="5"/>
        <w:spacing w:before="0" w:after="0" w:line="360" w:lineRule="auto"/>
        <w:rPr>
          <w:rFonts w:hAnsi="宋体"/>
          <w:color w:val="auto"/>
          <w:highlight w:val="none"/>
          <w:u w:val="none"/>
        </w:rPr>
      </w:pPr>
      <w:bookmarkStart w:id="94" w:name="_Toc520356155"/>
      <w:bookmarkStart w:id="95" w:name="_Toc199486186"/>
      <w:bookmarkStart w:id="96" w:name="_Toc269551492"/>
      <w:bookmarkStart w:id="97" w:name="_Toc367205244"/>
      <w:bookmarkStart w:id="98" w:name="_Toc292886353"/>
      <w:bookmarkStart w:id="99" w:name="_Toc434916126"/>
      <w:bookmarkStart w:id="100" w:name="_Toc292886193"/>
      <w:r>
        <w:rPr>
          <w:rFonts w:hint="eastAsia" w:hAnsi="宋体"/>
          <w:color w:val="auto"/>
          <w:highlight w:val="none"/>
          <w:u w:val="none"/>
        </w:rPr>
        <w:t>10.</w:t>
      </w:r>
      <w:r>
        <w:rPr>
          <w:rFonts w:hint="eastAsia" w:hAnsi="宋体"/>
          <w:color w:val="auto"/>
          <w:highlight w:val="none"/>
          <w:u w:val="none"/>
        </w:rPr>
        <w:tab/>
      </w:r>
      <w:r>
        <w:rPr>
          <w:rFonts w:hint="eastAsia" w:hAnsi="宋体"/>
          <w:color w:val="auto"/>
          <w:highlight w:val="none"/>
          <w:u w:val="none"/>
        </w:rPr>
        <w:tab/>
      </w:r>
      <w:r>
        <w:rPr>
          <w:rFonts w:hint="eastAsia" w:hAnsi="宋体"/>
          <w:color w:val="auto"/>
          <w:highlight w:val="none"/>
          <w:u w:val="none"/>
        </w:rPr>
        <w:t>报价</w:t>
      </w:r>
      <w:bookmarkEnd w:id="94"/>
      <w:bookmarkEnd w:id="95"/>
      <w:bookmarkEnd w:id="96"/>
      <w:bookmarkEnd w:id="97"/>
      <w:bookmarkEnd w:id="98"/>
      <w:bookmarkEnd w:id="99"/>
      <w:bookmarkEnd w:id="100"/>
    </w:p>
    <w:p>
      <w:pPr>
        <w:spacing w:line="360" w:lineRule="auto"/>
        <w:ind w:left="900" w:hanging="900"/>
        <w:rPr>
          <w:rFonts w:ascii="宋体" w:hAnsi="宋体"/>
          <w:color w:val="auto"/>
          <w:sz w:val="24"/>
          <w:highlight w:val="none"/>
        </w:rPr>
      </w:pPr>
      <w:r>
        <w:rPr>
          <w:rFonts w:hint="eastAsia" w:ascii="宋体" w:hAnsi="宋体"/>
          <w:color w:val="auto"/>
          <w:sz w:val="24"/>
          <w:highlight w:val="none"/>
        </w:rPr>
        <w:t>10.1</w:t>
      </w:r>
      <w:r>
        <w:rPr>
          <w:rFonts w:hint="eastAsia" w:ascii="宋体" w:hAnsi="宋体"/>
          <w:color w:val="auto"/>
          <w:sz w:val="24"/>
          <w:highlight w:val="none"/>
        </w:rPr>
        <w:tab/>
      </w:r>
      <w:r>
        <w:rPr>
          <w:rFonts w:hint="eastAsia" w:ascii="宋体" w:hAnsi="宋体"/>
          <w:color w:val="auto"/>
          <w:sz w:val="24"/>
          <w:highlight w:val="none"/>
        </w:rPr>
        <w:t>所有报价均以人民币报价，报价为货到用户现场的交货价。单一来源供应商的报价应遵守《中华人民共和国价格法》。</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10.2</w:t>
      </w:r>
      <w:r>
        <w:rPr>
          <w:rFonts w:hint="eastAsia" w:ascii="宋体" w:hAnsi="宋体"/>
          <w:color w:val="auto"/>
          <w:sz w:val="24"/>
          <w:highlight w:val="none"/>
        </w:rPr>
        <w:tab/>
      </w:r>
      <w:r>
        <w:rPr>
          <w:rFonts w:hint="eastAsia" w:ascii="宋体" w:hAnsi="宋体"/>
          <w:color w:val="auto"/>
          <w:sz w:val="24"/>
          <w:highlight w:val="none"/>
        </w:rPr>
        <w:t>单一来源供应商应在分项报价表（附件三）上标明报价货物及相关服务的单价（如适用）和总价，并由法定代表人或其授权代表签署。</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10.3</w:t>
      </w:r>
      <w:r>
        <w:rPr>
          <w:rFonts w:hint="eastAsia" w:ascii="宋体" w:hAnsi="宋体"/>
          <w:color w:val="auto"/>
          <w:sz w:val="24"/>
          <w:highlight w:val="none"/>
        </w:rPr>
        <w:tab/>
      </w:r>
      <w:r>
        <w:rPr>
          <w:rFonts w:hint="eastAsia" w:ascii="宋体" w:hAnsi="宋体"/>
          <w:color w:val="auto"/>
          <w:sz w:val="24"/>
          <w:highlight w:val="none"/>
        </w:rPr>
        <w:t>分项报价表上的价格可按下列方式填写：报价服务包括标采购范围内的所有技术服务及相关费用；</w:t>
      </w:r>
    </w:p>
    <w:p>
      <w:pPr>
        <w:tabs>
          <w:tab w:val="left" w:pos="630"/>
        </w:tabs>
        <w:spacing w:line="360" w:lineRule="auto"/>
        <w:ind w:left="900" w:hanging="900"/>
        <w:rPr>
          <w:rFonts w:ascii="宋体" w:hAnsi="宋体"/>
          <w:color w:val="auto"/>
          <w:sz w:val="24"/>
          <w:highlight w:val="none"/>
        </w:rPr>
      </w:pPr>
      <w:r>
        <w:rPr>
          <w:rFonts w:hint="eastAsia" w:ascii="宋体" w:hAnsi="宋体"/>
          <w:color w:val="auto"/>
          <w:sz w:val="24"/>
          <w:highlight w:val="none"/>
        </w:rPr>
        <w:t>10.4</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为了方便单一来源</w:t>
      </w:r>
      <w:r>
        <w:rPr>
          <w:rFonts w:ascii="宋体" w:hAnsi="宋体"/>
          <w:color w:val="auto"/>
          <w:sz w:val="24"/>
          <w:highlight w:val="none"/>
        </w:rPr>
        <w:t>谈判小组</w:t>
      </w:r>
      <w:r>
        <w:rPr>
          <w:rFonts w:hint="eastAsia" w:ascii="宋体" w:hAnsi="宋体"/>
          <w:color w:val="auto"/>
          <w:sz w:val="24"/>
          <w:highlight w:val="none"/>
        </w:rPr>
        <w:t>对报价文件进行评审，单一来源供应商的内容可根据本须知10.3条的规定将报价分成几部分，并不限制采购人以上述任何条件订立合同的权利。</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10.5</w:t>
      </w:r>
      <w:r>
        <w:rPr>
          <w:rFonts w:hint="eastAsia" w:ascii="宋体" w:hAnsi="宋体"/>
          <w:color w:val="auto"/>
          <w:sz w:val="24"/>
          <w:highlight w:val="none"/>
        </w:rPr>
        <w:tab/>
      </w:r>
      <w:r>
        <w:rPr>
          <w:rFonts w:hint="eastAsia" w:ascii="宋体" w:hAnsi="宋体"/>
          <w:color w:val="auto"/>
          <w:sz w:val="24"/>
          <w:highlight w:val="none"/>
        </w:rPr>
        <w:t>单一来源供应商所报的最终价格在合同履行过程中是固定不变的，不得以任何理由予以变更。</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10.6</w:t>
      </w:r>
      <w:r>
        <w:rPr>
          <w:rFonts w:hint="eastAsia" w:ascii="宋体" w:hAnsi="宋体"/>
          <w:color w:val="auto"/>
          <w:sz w:val="24"/>
          <w:highlight w:val="none"/>
        </w:rPr>
        <w:tab/>
      </w:r>
      <w:r>
        <w:rPr>
          <w:rFonts w:ascii="宋体" w:hAnsi="宋体"/>
          <w:color w:val="auto"/>
          <w:sz w:val="24"/>
          <w:highlight w:val="none"/>
        </w:rPr>
        <w:t>采购单位不接受任何选择性报价</w:t>
      </w:r>
      <w:r>
        <w:rPr>
          <w:rFonts w:hint="eastAsia" w:ascii="宋体" w:hAnsi="宋体"/>
          <w:color w:val="auto"/>
          <w:sz w:val="24"/>
          <w:highlight w:val="none"/>
        </w:rPr>
        <w:t>。</w:t>
      </w:r>
    </w:p>
    <w:p>
      <w:pPr>
        <w:pStyle w:val="5"/>
        <w:spacing w:before="0" w:after="0" w:line="360" w:lineRule="auto"/>
        <w:ind w:left="899" w:hanging="899"/>
        <w:rPr>
          <w:rFonts w:hAnsi="宋体"/>
          <w:color w:val="auto"/>
          <w:highlight w:val="none"/>
          <w:u w:val="none"/>
        </w:rPr>
      </w:pPr>
      <w:bookmarkStart w:id="101" w:name="_Toc269551493"/>
      <w:bookmarkStart w:id="102" w:name="_Toc199486187"/>
      <w:bookmarkStart w:id="103" w:name="_Toc292886194"/>
      <w:bookmarkStart w:id="104" w:name="_Toc367205245"/>
      <w:bookmarkStart w:id="105" w:name="_Toc434916127"/>
      <w:bookmarkStart w:id="106" w:name="_Ref467306513"/>
      <w:bookmarkStart w:id="107" w:name="_Toc520356156"/>
      <w:bookmarkStart w:id="108" w:name="_Toc292886354"/>
      <w:r>
        <w:rPr>
          <w:rFonts w:hint="eastAsia" w:hAnsi="宋体"/>
          <w:color w:val="auto"/>
          <w:highlight w:val="none"/>
          <w:u w:val="none"/>
        </w:rPr>
        <w:t>11.</w:t>
      </w:r>
      <w:r>
        <w:rPr>
          <w:rFonts w:hint="eastAsia" w:hAnsi="宋体"/>
          <w:color w:val="auto"/>
          <w:highlight w:val="none"/>
          <w:u w:val="none"/>
        </w:rPr>
        <w:tab/>
      </w:r>
      <w:r>
        <w:rPr>
          <w:rFonts w:hint="eastAsia" w:hAnsi="宋体"/>
          <w:color w:val="auto"/>
          <w:highlight w:val="none"/>
          <w:u w:val="none"/>
        </w:rPr>
        <w:t>报价保证金</w:t>
      </w:r>
      <w:bookmarkEnd w:id="101"/>
      <w:bookmarkEnd w:id="102"/>
      <w:bookmarkEnd w:id="103"/>
      <w:bookmarkEnd w:id="104"/>
      <w:bookmarkEnd w:id="105"/>
      <w:bookmarkEnd w:id="106"/>
      <w:bookmarkEnd w:id="107"/>
      <w:bookmarkEnd w:id="108"/>
      <w:r>
        <w:rPr>
          <w:rFonts w:hint="eastAsia" w:hAnsi="宋体"/>
          <w:color w:val="auto"/>
          <w:highlight w:val="none"/>
          <w:u w:val="none"/>
        </w:rPr>
        <w:t>（无）</w:t>
      </w:r>
    </w:p>
    <w:p>
      <w:pPr>
        <w:pStyle w:val="5"/>
        <w:spacing w:before="0" w:after="0" w:line="360" w:lineRule="auto"/>
        <w:ind w:left="899" w:hanging="899"/>
        <w:rPr>
          <w:rFonts w:hAnsi="宋体"/>
          <w:color w:val="auto"/>
          <w:highlight w:val="none"/>
          <w:u w:val="none"/>
        </w:rPr>
      </w:pPr>
      <w:bookmarkStart w:id="109" w:name="_Toc199486188"/>
      <w:bookmarkStart w:id="110" w:name="_Toc269551494"/>
      <w:bookmarkStart w:id="111" w:name="_Toc367205246"/>
      <w:bookmarkStart w:id="112" w:name="_Toc434916128"/>
      <w:bookmarkStart w:id="113" w:name="_Toc292886355"/>
      <w:bookmarkStart w:id="114" w:name="_Toc292886195"/>
      <w:bookmarkStart w:id="115" w:name="_Toc520356157"/>
      <w:r>
        <w:rPr>
          <w:rFonts w:hint="eastAsia" w:hAnsi="宋体"/>
          <w:color w:val="auto"/>
          <w:highlight w:val="none"/>
          <w:u w:val="none"/>
        </w:rPr>
        <w:t>12.</w:t>
      </w:r>
      <w:r>
        <w:rPr>
          <w:rFonts w:hint="eastAsia" w:hAnsi="宋体"/>
          <w:color w:val="auto"/>
          <w:highlight w:val="none"/>
          <w:u w:val="none"/>
        </w:rPr>
        <w:tab/>
      </w:r>
      <w:r>
        <w:rPr>
          <w:rFonts w:hint="eastAsia" w:hAnsi="宋体"/>
          <w:color w:val="auto"/>
          <w:highlight w:val="none"/>
          <w:u w:val="none"/>
        </w:rPr>
        <w:t>报价有效期</w:t>
      </w:r>
      <w:bookmarkEnd w:id="109"/>
      <w:bookmarkEnd w:id="110"/>
      <w:bookmarkEnd w:id="111"/>
      <w:bookmarkEnd w:id="112"/>
      <w:bookmarkEnd w:id="113"/>
      <w:bookmarkEnd w:id="114"/>
      <w:bookmarkEnd w:id="115"/>
    </w:p>
    <w:p>
      <w:pPr>
        <w:spacing w:line="360" w:lineRule="auto"/>
        <w:ind w:left="900" w:hanging="900"/>
        <w:rPr>
          <w:rFonts w:ascii="宋体" w:hAnsi="宋体"/>
          <w:color w:val="auto"/>
          <w:sz w:val="24"/>
          <w:highlight w:val="none"/>
        </w:rPr>
      </w:pPr>
      <w:r>
        <w:rPr>
          <w:rFonts w:hint="eastAsia" w:ascii="宋体" w:hAnsi="宋体"/>
          <w:color w:val="auto"/>
          <w:sz w:val="24"/>
          <w:highlight w:val="none"/>
        </w:rPr>
        <w:t>12.1</w:t>
      </w:r>
      <w:r>
        <w:rPr>
          <w:rFonts w:hint="eastAsia" w:ascii="宋体" w:hAnsi="宋体"/>
          <w:color w:val="auto"/>
          <w:sz w:val="24"/>
          <w:highlight w:val="none"/>
        </w:rPr>
        <w:tab/>
      </w:r>
      <w:r>
        <w:rPr>
          <w:rFonts w:hint="eastAsia" w:ascii="宋体" w:hAnsi="宋体"/>
          <w:color w:val="auto"/>
          <w:sz w:val="24"/>
          <w:highlight w:val="none"/>
        </w:rPr>
        <w:t>单一来源供应商的报价应在规定的报价日后的</w:t>
      </w:r>
      <w:r>
        <w:rPr>
          <w:rFonts w:hint="eastAsia" w:ascii="宋体" w:hAnsi="宋体"/>
          <w:color w:val="auto"/>
          <w:sz w:val="24"/>
          <w:highlight w:val="none"/>
          <w:u w:val="single"/>
        </w:rPr>
        <w:t xml:space="preserve"> </w:t>
      </w:r>
      <w:r>
        <w:rPr>
          <w:rFonts w:ascii="宋体" w:hAnsi="宋体"/>
          <w:color w:val="auto"/>
          <w:sz w:val="24"/>
          <w:highlight w:val="none"/>
          <w:u w:val="single"/>
        </w:rPr>
        <w:t>90</w:t>
      </w:r>
      <w:r>
        <w:rPr>
          <w:rFonts w:hint="eastAsia" w:ascii="宋体" w:hAnsi="宋体"/>
          <w:color w:val="auto"/>
          <w:sz w:val="24"/>
          <w:highlight w:val="none"/>
          <w:u w:val="single"/>
        </w:rPr>
        <w:t xml:space="preserve"> </w:t>
      </w:r>
      <w:r>
        <w:rPr>
          <w:rFonts w:hint="eastAsia" w:ascii="宋体" w:hAnsi="宋体"/>
          <w:color w:val="auto"/>
          <w:sz w:val="24"/>
          <w:highlight w:val="none"/>
        </w:rPr>
        <w:t>天内保持有效，报价有效期不满足要求的报价将被视为非响应性报价而予以拒绝。</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12.2</w:t>
      </w:r>
      <w:r>
        <w:rPr>
          <w:rFonts w:hint="eastAsia" w:ascii="宋体" w:hAnsi="宋体"/>
          <w:color w:val="auto"/>
          <w:sz w:val="24"/>
          <w:highlight w:val="none"/>
        </w:rPr>
        <w:tab/>
      </w:r>
      <w:r>
        <w:rPr>
          <w:rFonts w:hint="eastAsia" w:ascii="宋体" w:hAnsi="宋体"/>
          <w:color w:val="auto"/>
          <w:sz w:val="24"/>
          <w:highlight w:val="none"/>
        </w:rPr>
        <w:t>采购单位可根据实际情况，在原报价有效期截止之前，要求单一来源供应商同意延长报价文件的有效期。单一来源供应商接受该要求将不会被要求和允许修正其最终报价，且本须知中有关报价保证金的要求将在延长了的有效期内继续有效。单一来源供应商也可以拒绝采购单位的这种要求，其报价保证金将不会被没收，但其报价失效。上述要求和答复都应以书面形式提交。</w:t>
      </w:r>
    </w:p>
    <w:p>
      <w:pPr>
        <w:pStyle w:val="5"/>
        <w:spacing w:before="0" w:after="0" w:line="360" w:lineRule="auto"/>
        <w:ind w:left="899" w:hanging="899"/>
        <w:rPr>
          <w:rFonts w:hAnsi="宋体"/>
          <w:color w:val="auto"/>
          <w:highlight w:val="none"/>
          <w:u w:val="none"/>
        </w:rPr>
      </w:pPr>
      <w:bookmarkStart w:id="116" w:name="_Toc520356158"/>
      <w:bookmarkStart w:id="117" w:name="_Toc199486189"/>
      <w:bookmarkStart w:id="118" w:name="_Toc367205247"/>
      <w:bookmarkStart w:id="119" w:name="_Toc269551495"/>
      <w:bookmarkStart w:id="120" w:name="_Toc434916129"/>
      <w:bookmarkStart w:id="121" w:name="_Toc292886356"/>
      <w:bookmarkStart w:id="122" w:name="_Toc292886196"/>
      <w:r>
        <w:rPr>
          <w:rFonts w:hint="eastAsia" w:hAnsi="宋体"/>
          <w:color w:val="auto"/>
          <w:highlight w:val="none"/>
          <w:u w:val="none"/>
        </w:rPr>
        <w:t>13.</w:t>
      </w:r>
      <w:r>
        <w:rPr>
          <w:rFonts w:hint="eastAsia" w:hAnsi="宋体"/>
          <w:color w:val="auto"/>
          <w:highlight w:val="none"/>
          <w:u w:val="none"/>
        </w:rPr>
        <w:tab/>
      </w:r>
      <w:r>
        <w:rPr>
          <w:rFonts w:hint="eastAsia" w:hAnsi="宋体"/>
          <w:color w:val="auto"/>
          <w:highlight w:val="none"/>
          <w:u w:val="none"/>
        </w:rPr>
        <w:t>报价文件的签署</w:t>
      </w:r>
      <w:bookmarkEnd w:id="116"/>
      <w:r>
        <w:rPr>
          <w:rFonts w:hint="eastAsia" w:hAnsi="宋体"/>
          <w:color w:val="auto"/>
          <w:highlight w:val="none"/>
          <w:u w:val="none"/>
        </w:rPr>
        <w:t>及规定</w:t>
      </w:r>
      <w:bookmarkEnd w:id="117"/>
      <w:bookmarkEnd w:id="118"/>
      <w:bookmarkEnd w:id="119"/>
      <w:bookmarkEnd w:id="120"/>
      <w:bookmarkEnd w:id="121"/>
      <w:bookmarkEnd w:id="122"/>
    </w:p>
    <w:p>
      <w:pPr>
        <w:spacing w:line="360" w:lineRule="auto"/>
        <w:ind w:left="900" w:hanging="900"/>
        <w:rPr>
          <w:rFonts w:ascii="宋体" w:hAnsi="宋体"/>
          <w:color w:val="auto"/>
          <w:sz w:val="24"/>
          <w:highlight w:val="none"/>
        </w:rPr>
      </w:pPr>
      <w:r>
        <w:rPr>
          <w:rFonts w:hint="eastAsia" w:ascii="宋体" w:hAnsi="宋体"/>
          <w:color w:val="auto"/>
          <w:sz w:val="24"/>
          <w:highlight w:val="none"/>
        </w:rPr>
        <w:t>13.1</w:t>
      </w:r>
      <w:r>
        <w:rPr>
          <w:rFonts w:hint="eastAsia" w:ascii="宋体" w:hAnsi="宋体"/>
          <w:color w:val="auto"/>
          <w:sz w:val="24"/>
          <w:highlight w:val="none"/>
        </w:rPr>
        <w:tab/>
      </w:r>
      <w:r>
        <w:rPr>
          <w:rFonts w:hint="eastAsia" w:ascii="宋体" w:hAnsi="宋体"/>
          <w:color w:val="auto"/>
          <w:sz w:val="24"/>
          <w:highlight w:val="none"/>
        </w:rPr>
        <w:t>单一来源供应商应准备报价文件正本</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一 </w:t>
      </w:r>
      <w:r>
        <w:rPr>
          <w:rFonts w:ascii="宋体" w:hAnsi="宋体"/>
          <w:color w:val="auto"/>
          <w:sz w:val="24"/>
          <w:highlight w:val="none"/>
          <w:u w:val="single"/>
        </w:rPr>
        <w:t xml:space="preserve"> </w:t>
      </w:r>
      <w:r>
        <w:rPr>
          <w:rFonts w:hint="eastAsia" w:ascii="宋体" w:hAnsi="宋体"/>
          <w:color w:val="auto"/>
          <w:sz w:val="24"/>
          <w:highlight w:val="none"/>
        </w:rPr>
        <w:t>份和副本</w:t>
      </w:r>
      <w:r>
        <w:rPr>
          <w:rFonts w:hint="eastAsia" w:ascii="宋体" w:hAnsi="宋体"/>
          <w:color w:val="auto"/>
          <w:sz w:val="24"/>
          <w:highlight w:val="none"/>
          <w:u w:val="single"/>
        </w:rPr>
        <w:t xml:space="preserve">  两  </w:t>
      </w:r>
      <w:r>
        <w:rPr>
          <w:rFonts w:hint="eastAsia" w:ascii="宋体" w:hAnsi="宋体"/>
          <w:color w:val="auto"/>
          <w:sz w:val="24"/>
          <w:highlight w:val="none"/>
        </w:rPr>
        <w:t>份，</w:t>
      </w:r>
      <w:r>
        <w:rPr>
          <w:rFonts w:hint="eastAsia" w:ascii="宋体" w:hAnsi="宋体"/>
          <w:color w:val="auto"/>
          <w:sz w:val="24"/>
          <w:highlight w:val="none"/>
        </w:rPr>
        <w:t>（另提供一份电子版投标文件，可与副本一起封装）每份报价文件应清楚地标明“正本”或“副本”。若正本和副本不符，以正本为准。</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13.2</w:t>
      </w:r>
      <w:r>
        <w:rPr>
          <w:rFonts w:hint="eastAsia" w:ascii="宋体" w:hAnsi="宋体"/>
          <w:color w:val="auto"/>
          <w:sz w:val="24"/>
          <w:highlight w:val="none"/>
        </w:rPr>
        <w:tab/>
      </w:r>
      <w:r>
        <w:rPr>
          <w:rFonts w:hint="eastAsia" w:ascii="宋体" w:hAnsi="宋体"/>
          <w:color w:val="auto"/>
          <w:sz w:val="24"/>
          <w:highlight w:val="none"/>
        </w:rPr>
        <w:t>报价文件的正本需打印或用不褪色墨水书写，并由单一来源供应商的法定代表人或经其正式授权的代表在报价文件上签字并加盖单位印章。授权代表须有书面的“法定代表人授权书”（标准格式附后），并将其附在报价文件中。报价文件的副本可采用正本的的复印件。</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13.3</w:t>
      </w:r>
      <w:r>
        <w:rPr>
          <w:rFonts w:hint="eastAsia" w:ascii="宋体" w:hAnsi="宋体"/>
          <w:color w:val="auto"/>
          <w:sz w:val="24"/>
          <w:highlight w:val="none"/>
        </w:rPr>
        <w:tab/>
      </w:r>
      <w:r>
        <w:rPr>
          <w:rFonts w:hint="eastAsia" w:ascii="宋体" w:hAnsi="宋体"/>
          <w:color w:val="auto"/>
          <w:sz w:val="24"/>
          <w:highlight w:val="none"/>
        </w:rPr>
        <w:t>任何行间插字、涂改和增删，必须由报价文件签字人签字或单一来源供应商加盖公章后才有效。</w:t>
      </w:r>
    </w:p>
    <w:p>
      <w:pPr>
        <w:spacing w:line="360" w:lineRule="auto"/>
        <w:rPr>
          <w:rFonts w:ascii="宋体" w:hAnsi="宋体"/>
          <w:color w:val="auto"/>
          <w:sz w:val="24"/>
          <w:highlight w:val="none"/>
        </w:rPr>
      </w:pPr>
      <w:r>
        <w:rPr>
          <w:rFonts w:hint="eastAsia" w:ascii="宋体" w:hAnsi="宋体"/>
          <w:color w:val="auto"/>
          <w:sz w:val="24"/>
          <w:highlight w:val="none"/>
        </w:rPr>
        <w:t>13.4</w:t>
      </w:r>
      <w:r>
        <w:rPr>
          <w:rFonts w:hint="eastAsia" w:ascii="宋体" w:hAnsi="宋体"/>
          <w:color w:val="auto"/>
          <w:sz w:val="24"/>
          <w:highlight w:val="none"/>
        </w:rPr>
        <w:tab/>
      </w:r>
      <w:r>
        <w:rPr>
          <w:rFonts w:hint="eastAsia" w:ascii="宋体" w:hAnsi="宋体"/>
          <w:color w:val="auto"/>
          <w:sz w:val="24"/>
          <w:highlight w:val="none"/>
        </w:rPr>
        <w:t>报价文件因字迹潦草或表达不清所引起的后果由单一来源供应商负责。</w:t>
      </w:r>
    </w:p>
    <w:p>
      <w:pPr>
        <w:pStyle w:val="3"/>
        <w:spacing w:before="0" w:line="360" w:lineRule="auto"/>
        <w:rPr>
          <w:rFonts w:ascii="宋体" w:hAnsi="宋体" w:eastAsia="宋体"/>
          <w:color w:val="auto"/>
          <w:sz w:val="24"/>
          <w:highlight w:val="none"/>
        </w:rPr>
      </w:pPr>
      <w:bookmarkStart w:id="123" w:name="_Toc292886197"/>
      <w:bookmarkStart w:id="124" w:name="_Toc520356159"/>
      <w:bookmarkStart w:id="125" w:name="_Toc367205248"/>
      <w:bookmarkStart w:id="126" w:name="_Toc292886357"/>
      <w:bookmarkStart w:id="127" w:name="_Toc434916130"/>
      <w:r>
        <w:rPr>
          <w:rFonts w:hint="eastAsia" w:ascii="宋体" w:hAnsi="宋体" w:eastAsia="宋体"/>
          <w:color w:val="auto"/>
          <w:sz w:val="24"/>
          <w:highlight w:val="none"/>
        </w:rPr>
        <w:t>四   报价文件的递交</w:t>
      </w:r>
      <w:bookmarkEnd w:id="123"/>
      <w:bookmarkEnd w:id="124"/>
      <w:bookmarkEnd w:id="125"/>
      <w:bookmarkEnd w:id="126"/>
      <w:bookmarkEnd w:id="127"/>
    </w:p>
    <w:p>
      <w:pPr>
        <w:pStyle w:val="5"/>
        <w:spacing w:before="0" w:after="0" w:line="360" w:lineRule="auto"/>
        <w:ind w:left="899" w:hanging="899"/>
        <w:rPr>
          <w:rFonts w:hAnsi="宋体"/>
          <w:color w:val="auto"/>
          <w:highlight w:val="none"/>
          <w:u w:val="none"/>
        </w:rPr>
      </w:pPr>
      <w:bookmarkStart w:id="128" w:name="_Toc292886358"/>
      <w:bookmarkStart w:id="129" w:name="_Toc434916131"/>
      <w:bookmarkStart w:id="130" w:name="_Toc269551497"/>
      <w:bookmarkStart w:id="131" w:name="_Toc292886198"/>
      <w:bookmarkStart w:id="132" w:name="_Toc520356160"/>
      <w:bookmarkStart w:id="133" w:name="_Toc367205249"/>
      <w:bookmarkStart w:id="134" w:name="_Toc199486191"/>
      <w:r>
        <w:rPr>
          <w:rFonts w:hint="eastAsia" w:hAnsi="宋体"/>
          <w:color w:val="auto"/>
          <w:highlight w:val="none"/>
          <w:u w:val="none"/>
        </w:rPr>
        <w:t>14.</w:t>
      </w:r>
      <w:r>
        <w:rPr>
          <w:rFonts w:hint="eastAsia" w:hAnsi="宋体"/>
          <w:color w:val="auto"/>
          <w:highlight w:val="none"/>
          <w:u w:val="none"/>
        </w:rPr>
        <w:tab/>
      </w:r>
      <w:r>
        <w:rPr>
          <w:rFonts w:hint="eastAsia" w:hAnsi="宋体"/>
          <w:color w:val="auto"/>
          <w:highlight w:val="none"/>
          <w:u w:val="none"/>
        </w:rPr>
        <w:t>报价文件的密封和标记</w:t>
      </w:r>
      <w:bookmarkEnd w:id="128"/>
      <w:bookmarkEnd w:id="129"/>
      <w:bookmarkEnd w:id="130"/>
      <w:bookmarkEnd w:id="131"/>
      <w:bookmarkEnd w:id="132"/>
      <w:bookmarkEnd w:id="133"/>
      <w:bookmarkEnd w:id="134"/>
    </w:p>
    <w:p>
      <w:pPr>
        <w:numPr>
          <w:ilvl w:val="1"/>
          <w:numId w:val="6"/>
        </w:numPr>
        <w:tabs>
          <w:tab w:val="left" w:pos="900"/>
          <w:tab w:val="clear" w:pos="480"/>
        </w:tabs>
        <w:spacing w:line="360" w:lineRule="auto"/>
        <w:ind w:left="900" w:hanging="900"/>
        <w:rPr>
          <w:rFonts w:ascii="宋体" w:hAnsi="宋体"/>
          <w:color w:val="auto"/>
          <w:sz w:val="24"/>
          <w:highlight w:val="none"/>
        </w:rPr>
      </w:pPr>
      <w:r>
        <w:rPr>
          <w:rFonts w:hint="eastAsia" w:ascii="宋体" w:hAnsi="宋体"/>
          <w:b/>
          <w:color w:val="auto"/>
          <w:sz w:val="24"/>
          <w:highlight w:val="none"/>
        </w:rPr>
        <w:t>报价时，单一来源供应商应将报价文件胶装成册，不应采用活页可拆卸的装订。</w:t>
      </w:r>
      <w:r>
        <w:rPr>
          <w:rFonts w:hint="eastAsia" w:ascii="宋体" w:hAnsi="宋体"/>
          <w:color w:val="auto"/>
          <w:sz w:val="24"/>
          <w:highlight w:val="none"/>
        </w:rPr>
        <w:t>正本和所有的副本分开密封装在单独的信封中，且在信封正面标明“正本”“副本”字样。</w:t>
      </w:r>
    </w:p>
    <w:p>
      <w:pPr>
        <w:numPr>
          <w:ilvl w:val="1"/>
          <w:numId w:val="6"/>
        </w:numPr>
        <w:tabs>
          <w:tab w:val="left" w:pos="900"/>
          <w:tab w:val="clear" w:pos="480"/>
        </w:tabs>
        <w:spacing w:line="360" w:lineRule="auto"/>
        <w:ind w:left="900" w:hanging="900"/>
        <w:rPr>
          <w:rFonts w:ascii="宋体" w:hAnsi="宋体"/>
          <w:color w:val="auto"/>
          <w:sz w:val="24"/>
          <w:highlight w:val="none"/>
        </w:rPr>
      </w:pPr>
      <w:r>
        <w:rPr>
          <w:rFonts w:hint="eastAsia" w:ascii="宋体" w:hAnsi="宋体"/>
          <w:color w:val="auto"/>
          <w:sz w:val="24"/>
          <w:highlight w:val="none"/>
        </w:rPr>
        <w:t>单一来源供应商应将 “报价一览表”单独密封，并在信封上标明“报价一览表”字样，在报价时单独递交。</w:t>
      </w:r>
    </w:p>
    <w:p>
      <w:pPr>
        <w:numPr>
          <w:ilvl w:val="1"/>
          <w:numId w:val="6"/>
        </w:numPr>
        <w:tabs>
          <w:tab w:val="left" w:pos="900"/>
          <w:tab w:val="clear" w:pos="480"/>
        </w:tabs>
        <w:spacing w:line="360" w:lineRule="auto"/>
        <w:ind w:left="900" w:hanging="900"/>
        <w:rPr>
          <w:rFonts w:ascii="宋体" w:hAnsi="宋体"/>
          <w:color w:val="auto"/>
          <w:sz w:val="24"/>
          <w:highlight w:val="none"/>
        </w:rPr>
      </w:pPr>
      <w:r>
        <w:rPr>
          <w:rFonts w:hint="eastAsia" w:ascii="宋体" w:hAnsi="宋体"/>
          <w:color w:val="auto"/>
          <w:sz w:val="24"/>
          <w:highlight w:val="none"/>
        </w:rPr>
        <w:t>所有信封上均应：</w:t>
      </w:r>
    </w:p>
    <w:p>
      <w:pPr>
        <w:pStyle w:val="13"/>
        <w:tabs>
          <w:tab w:val="left" w:pos="630"/>
          <w:tab w:val="left" w:pos="1365"/>
        </w:tabs>
        <w:spacing w:line="360" w:lineRule="auto"/>
        <w:ind w:left="660" w:firstLine="240"/>
        <w:rPr>
          <w:rFonts w:hAnsi="宋体"/>
          <w:color w:val="auto"/>
          <w:sz w:val="24"/>
          <w:highlight w:val="none"/>
        </w:rPr>
      </w:pPr>
      <w:r>
        <w:rPr>
          <w:rFonts w:hint="eastAsia" w:hAnsi="宋体"/>
          <w:color w:val="auto"/>
          <w:sz w:val="24"/>
          <w:highlight w:val="none"/>
        </w:rPr>
        <w:t>1）清楚标明递交至报价邀请书中指明的地址。</w:t>
      </w:r>
    </w:p>
    <w:p>
      <w:pPr>
        <w:pStyle w:val="13"/>
        <w:tabs>
          <w:tab w:val="left" w:pos="1260"/>
          <w:tab w:val="left" w:pos="1440"/>
        </w:tabs>
        <w:spacing w:line="360" w:lineRule="auto"/>
        <w:ind w:left="1377" w:leftChars="427" w:hanging="480" w:hangingChars="200"/>
        <w:rPr>
          <w:rFonts w:hAnsi="宋体"/>
          <w:b/>
          <w:color w:val="auto"/>
          <w:sz w:val="24"/>
          <w:highlight w:val="none"/>
        </w:rPr>
      </w:pPr>
      <w:r>
        <w:rPr>
          <w:rFonts w:hint="eastAsia" w:hAnsi="宋体"/>
          <w:color w:val="auto"/>
          <w:sz w:val="24"/>
          <w:highlight w:val="none"/>
        </w:rPr>
        <w:t>2）注明项目名称、采购编号和“在</w:t>
      </w:r>
      <w:r>
        <w:rPr>
          <w:rFonts w:hint="eastAsia" w:hAnsi="宋体"/>
          <w:b/>
          <w:color w:val="auto"/>
          <w:sz w:val="24"/>
          <w:highlight w:val="none"/>
          <w:u w:val="single"/>
        </w:rPr>
        <w:t xml:space="preserve">       </w:t>
      </w:r>
      <w:r>
        <w:rPr>
          <w:rFonts w:hint="eastAsia" w:hAnsi="宋体"/>
          <w:b/>
          <w:color w:val="auto"/>
          <w:sz w:val="24"/>
          <w:highlight w:val="none"/>
        </w:rPr>
        <w:t>年</w:t>
      </w:r>
      <w:r>
        <w:rPr>
          <w:rFonts w:hint="eastAsia" w:hAnsi="宋体"/>
          <w:b/>
          <w:color w:val="auto"/>
          <w:sz w:val="24"/>
          <w:highlight w:val="none"/>
          <w:u w:val="single"/>
        </w:rPr>
        <w:t xml:space="preserve">   </w:t>
      </w:r>
      <w:r>
        <w:rPr>
          <w:rFonts w:hint="eastAsia" w:hAnsi="宋体"/>
          <w:b/>
          <w:color w:val="auto"/>
          <w:sz w:val="24"/>
          <w:highlight w:val="none"/>
        </w:rPr>
        <w:t>月</w:t>
      </w:r>
      <w:r>
        <w:rPr>
          <w:rFonts w:hint="eastAsia" w:hAnsi="宋体"/>
          <w:b/>
          <w:color w:val="auto"/>
          <w:sz w:val="24"/>
          <w:highlight w:val="none"/>
          <w:u w:val="single"/>
        </w:rPr>
        <w:t xml:space="preserve">    </w:t>
      </w:r>
      <w:r>
        <w:rPr>
          <w:rFonts w:hint="eastAsia" w:hAnsi="宋体"/>
          <w:b/>
          <w:color w:val="auto"/>
          <w:sz w:val="24"/>
          <w:highlight w:val="none"/>
        </w:rPr>
        <w:t>日</w:t>
      </w:r>
      <w:r>
        <w:rPr>
          <w:rFonts w:hint="eastAsia" w:hAnsi="宋体"/>
          <w:b/>
          <w:color w:val="auto"/>
          <w:sz w:val="24"/>
          <w:highlight w:val="none"/>
          <w:u w:val="single"/>
        </w:rPr>
        <w:t xml:space="preserve">   </w:t>
      </w:r>
      <w:r>
        <w:rPr>
          <w:rFonts w:hint="eastAsia" w:hAnsi="宋体"/>
          <w:b/>
          <w:color w:val="auto"/>
          <w:sz w:val="24"/>
          <w:highlight w:val="none"/>
        </w:rPr>
        <w:t>时之前不得启封”</w:t>
      </w:r>
      <w:r>
        <w:rPr>
          <w:rFonts w:hint="eastAsia" w:hAnsi="宋体"/>
          <w:color w:val="auto"/>
          <w:sz w:val="24"/>
          <w:highlight w:val="none"/>
        </w:rPr>
        <w:t>的字样（填入规定的报价截止日期和时间）。</w:t>
      </w:r>
    </w:p>
    <w:p>
      <w:pPr>
        <w:pStyle w:val="13"/>
        <w:tabs>
          <w:tab w:val="left" w:pos="1365"/>
        </w:tabs>
        <w:spacing w:line="360" w:lineRule="auto"/>
        <w:ind w:left="1259" w:hanging="360"/>
        <w:rPr>
          <w:rFonts w:hAnsi="宋体"/>
          <w:color w:val="auto"/>
          <w:sz w:val="24"/>
          <w:highlight w:val="none"/>
        </w:rPr>
      </w:pPr>
      <w:r>
        <w:rPr>
          <w:rFonts w:hint="eastAsia" w:hAnsi="宋体"/>
          <w:color w:val="auto"/>
          <w:sz w:val="24"/>
          <w:highlight w:val="none"/>
        </w:rPr>
        <w:t>3）在信封的封装处加盖单一来源供应商公章。</w:t>
      </w:r>
    </w:p>
    <w:p>
      <w:pPr>
        <w:pStyle w:val="8"/>
        <w:tabs>
          <w:tab w:val="left" w:pos="420"/>
        </w:tabs>
        <w:spacing w:before="0" w:line="360" w:lineRule="auto"/>
        <w:ind w:left="900" w:hanging="900"/>
        <w:rPr>
          <w:color w:val="auto"/>
          <w:highlight w:val="none"/>
        </w:rPr>
      </w:pPr>
      <w:r>
        <w:rPr>
          <w:rFonts w:hint="eastAsia"/>
          <w:color w:val="auto"/>
          <w:highlight w:val="none"/>
        </w:rPr>
        <w:t>14.5</w:t>
      </w:r>
      <w:r>
        <w:rPr>
          <w:rFonts w:hint="eastAsia"/>
          <w:color w:val="auto"/>
          <w:highlight w:val="none"/>
        </w:rPr>
        <w:tab/>
      </w:r>
      <w:r>
        <w:rPr>
          <w:rFonts w:hint="eastAsia"/>
          <w:color w:val="auto"/>
          <w:highlight w:val="none"/>
        </w:rPr>
        <w:t xml:space="preserve">   所有信封上还应写明单一来源供应商名称和地址，以便若其报价被宣布为“迟到”报价时，能原封退回。</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14.6</w:t>
      </w:r>
      <w:r>
        <w:rPr>
          <w:rFonts w:hint="eastAsia" w:ascii="宋体" w:hAnsi="宋体"/>
          <w:color w:val="auto"/>
          <w:sz w:val="24"/>
          <w:highlight w:val="none"/>
        </w:rPr>
        <w:tab/>
      </w:r>
      <w:r>
        <w:rPr>
          <w:rFonts w:hint="eastAsia" w:ascii="宋体" w:hAnsi="宋体"/>
          <w:color w:val="auto"/>
          <w:sz w:val="24"/>
          <w:highlight w:val="none"/>
        </w:rPr>
        <w:t>如果单一来源供应商未按上述要求密封及加写标记，采购单位对报价文件的误投或过早启封概不负责。</w:t>
      </w:r>
    </w:p>
    <w:p>
      <w:pPr>
        <w:pStyle w:val="5"/>
        <w:spacing w:before="0" w:after="0" w:line="360" w:lineRule="auto"/>
        <w:ind w:left="899" w:hanging="899"/>
        <w:rPr>
          <w:rFonts w:hAnsi="宋体"/>
          <w:color w:val="auto"/>
          <w:highlight w:val="none"/>
          <w:u w:val="none"/>
        </w:rPr>
      </w:pPr>
      <w:bookmarkStart w:id="135" w:name="_Toc520356161"/>
      <w:bookmarkStart w:id="136" w:name="_Toc434916132"/>
      <w:bookmarkStart w:id="137" w:name="_Toc367205250"/>
      <w:bookmarkStart w:id="138" w:name="_Toc199486192"/>
      <w:bookmarkStart w:id="139" w:name="_Toc292886199"/>
      <w:bookmarkStart w:id="140" w:name="_Toc292886359"/>
      <w:bookmarkStart w:id="141" w:name="_Toc269551498"/>
      <w:r>
        <w:rPr>
          <w:rFonts w:hint="eastAsia" w:hAnsi="宋体"/>
          <w:color w:val="auto"/>
          <w:highlight w:val="none"/>
          <w:u w:val="none"/>
        </w:rPr>
        <w:t>15.</w:t>
      </w:r>
      <w:r>
        <w:rPr>
          <w:rFonts w:hint="eastAsia" w:hAnsi="宋体"/>
          <w:color w:val="auto"/>
          <w:highlight w:val="none"/>
          <w:u w:val="none"/>
        </w:rPr>
        <w:tab/>
      </w:r>
      <w:r>
        <w:rPr>
          <w:rFonts w:hint="eastAsia" w:hAnsi="宋体"/>
          <w:color w:val="auto"/>
          <w:highlight w:val="none"/>
          <w:u w:val="none"/>
        </w:rPr>
        <w:t>报价截止期</w:t>
      </w:r>
      <w:bookmarkEnd w:id="135"/>
      <w:bookmarkEnd w:id="136"/>
      <w:bookmarkEnd w:id="137"/>
      <w:bookmarkEnd w:id="138"/>
      <w:bookmarkEnd w:id="139"/>
      <w:bookmarkEnd w:id="140"/>
      <w:bookmarkEnd w:id="141"/>
    </w:p>
    <w:p>
      <w:pPr>
        <w:spacing w:line="360" w:lineRule="auto"/>
        <w:ind w:left="900" w:hanging="900"/>
        <w:rPr>
          <w:rFonts w:ascii="宋体" w:hAnsi="宋体"/>
          <w:color w:val="auto"/>
          <w:sz w:val="24"/>
          <w:highlight w:val="none"/>
        </w:rPr>
      </w:pPr>
      <w:r>
        <w:rPr>
          <w:rFonts w:hint="eastAsia" w:ascii="宋体" w:hAnsi="宋体"/>
          <w:color w:val="auto"/>
          <w:sz w:val="24"/>
          <w:highlight w:val="none"/>
        </w:rPr>
        <w:t>15.1</w:t>
      </w:r>
      <w:r>
        <w:rPr>
          <w:rFonts w:hint="eastAsia" w:ascii="宋体" w:hAnsi="宋体"/>
          <w:color w:val="auto"/>
          <w:sz w:val="24"/>
          <w:highlight w:val="none"/>
        </w:rPr>
        <w:tab/>
      </w:r>
      <w:r>
        <w:rPr>
          <w:rFonts w:hint="eastAsia" w:ascii="宋体" w:hAnsi="宋体"/>
          <w:color w:val="auto"/>
          <w:sz w:val="24"/>
          <w:highlight w:val="none"/>
        </w:rPr>
        <w:t>单一来源供应商应按报价邀请规定的报价截止日期、时间和地点，将报价文件递交给采购单位。</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15.2</w:t>
      </w:r>
      <w:r>
        <w:rPr>
          <w:rFonts w:hint="eastAsia" w:ascii="宋体" w:hAnsi="宋体"/>
          <w:color w:val="auto"/>
          <w:sz w:val="24"/>
          <w:highlight w:val="none"/>
        </w:rPr>
        <w:tab/>
      </w:r>
      <w:r>
        <w:rPr>
          <w:rFonts w:hint="eastAsia" w:ascii="宋体" w:hAnsi="宋体"/>
          <w:color w:val="auto"/>
          <w:sz w:val="24"/>
          <w:highlight w:val="none"/>
        </w:rPr>
        <w:t>采购单位有权按本须知的规定，通过修改采购文件延长报价截止期。在此情况下，采购单位和单一来源供应商受报价截止期制约的所有权利和义务均应延长至新的截止期。</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15.3</w:t>
      </w:r>
      <w:r>
        <w:rPr>
          <w:rFonts w:hint="eastAsia" w:ascii="宋体" w:hAnsi="宋体"/>
          <w:color w:val="auto"/>
          <w:sz w:val="24"/>
          <w:highlight w:val="none"/>
        </w:rPr>
        <w:tab/>
      </w:r>
      <w:r>
        <w:rPr>
          <w:rFonts w:hint="eastAsia" w:ascii="宋体" w:hAnsi="宋体"/>
          <w:color w:val="auto"/>
          <w:sz w:val="24"/>
          <w:highlight w:val="none"/>
        </w:rPr>
        <w:t>采购单位有权拒绝并原封退回在本须知规定的报价截止期后收到的单一来源供应商报价文件。</w:t>
      </w:r>
    </w:p>
    <w:p>
      <w:pPr>
        <w:pStyle w:val="5"/>
        <w:spacing w:before="0" w:after="0" w:line="360" w:lineRule="auto"/>
        <w:ind w:left="899" w:hanging="899"/>
        <w:rPr>
          <w:rFonts w:hAnsi="宋体"/>
          <w:color w:val="auto"/>
          <w:highlight w:val="none"/>
          <w:u w:val="none"/>
        </w:rPr>
      </w:pPr>
      <w:bookmarkStart w:id="142" w:name="_Toc520356162"/>
      <w:bookmarkStart w:id="143" w:name="_Toc367205251"/>
      <w:bookmarkStart w:id="144" w:name="_Toc434916133"/>
      <w:bookmarkStart w:id="145" w:name="_Toc292886360"/>
      <w:bookmarkStart w:id="146" w:name="_Toc199486193"/>
      <w:bookmarkStart w:id="147" w:name="_Toc269551499"/>
      <w:bookmarkStart w:id="148" w:name="_Toc292886200"/>
      <w:r>
        <w:rPr>
          <w:rFonts w:hint="eastAsia" w:hAnsi="宋体"/>
          <w:color w:val="auto"/>
          <w:highlight w:val="none"/>
          <w:u w:val="none"/>
        </w:rPr>
        <w:t>16.</w:t>
      </w:r>
      <w:r>
        <w:rPr>
          <w:rFonts w:hint="eastAsia" w:hAnsi="宋体"/>
          <w:color w:val="auto"/>
          <w:highlight w:val="none"/>
          <w:u w:val="none"/>
        </w:rPr>
        <w:tab/>
      </w:r>
      <w:r>
        <w:rPr>
          <w:rFonts w:hint="eastAsia" w:hAnsi="宋体"/>
          <w:color w:val="auto"/>
          <w:highlight w:val="none"/>
          <w:u w:val="none"/>
        </w:rPr>
        <w:t>报价文件的修改与撤回</w:t>
      </w:r>
      <w:bookmarkEnd w:id="142"/>
      <w:bookmarkEnd w:id="143"/>
      <w:bookmarkEnd w:id="144"/>
      <w:bookmarkEnd w:id="145"/>
      <w:bookmarkEnd w:id="146"/>
      <w:bookmarkEnd w:id="147"/>
      <w:bookmarkEnd w:id="148"/>
    </w:p>
    <w:p>
      <w:pPr>
        <w:spacing w:line="360" w:lineRule="auto"/>
        <w:ind w:left="900" w:hanging="900"/>
        <w:rPr>
          <w:rFonts w:ascii="宋体" w:hAnsi="宋体"/>
          <w:color w:val="auto"/>
          <w:sz w:val="24"/>
          <w:highlight w:val="none"/>
        </w:rPr>
      </w:pPr>
      <w:r>
        <w:rPr>
          <w:rFonts w:hint="eastAsia" w:ascii="宋体" w:hAnsi="宋体"/>
          <w:color w:val="auto"/>
          <w:sz w:val="24"/>
          <w:highlight w:val="none"/>
        </w:rPr>
        <w:t>16.1</w:t>
      </w:r>
      <w:r>
        <w:rPr>
          <w:rFonts w:hint="eastAsia" w:ascii="宋体" w:hAnsi="宋体"/>
          <w:color w:val="auto"/>
          <w:sz w:val="24"/>
          <w:highlight w:val="none"/>
        </w:rPr>
        <w:tab/>
      </w:r>
      <w:r>
        <w:rPr>
          <w:rFonts w:hint="eastAsia" w:ascii="宋体" w:hAnsi="宋体"/>
          <w:color w:val="auto"/>
          <w:sz w:val="24"/>
          <w:highlight w:val="none"/>
        </w:rPr>
        <w:t>报价以后，如果单一来源供应商提出书面修改或撤回要求，在报价截止时间前送达采购单位者，采购单位将予以接受。</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16.2</w:t>
      </w:r>
      <w:r>
        <w:rPr>
          <w:rFonts w:hint="eastAsia" w:ascii="宋体" w:hAnsi="宋体"/>
          <w:color w:val="auto"/>
          <w:sz w:val="24"/>
          <w:highlight w:val="none"/>
        </w:rPr>
        <w:tab/>
      </w:r>
      <w:r>
        <w:rPr>
          <w:rFonts w:hint="eastAsia" w:ascii="宋体" w:hAnsi="宋体"/>
          <w:color w:val="auto"/>
          <w:sz w:val="24"/>
          <w:highlight w:val="none"/>
        </w:rPr>
        <w:t>单一来源供应商对报价文件的修改或撤回通知应按本须知规定编制、密封、标记和提交。</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16.3</w:t>
      </w:r>
      <w:r>
        <w:rPr>
          <w:rFonts w:hint="eastAsia" w:ascii="宋体" w:hAnsi="宋体"/>
          <w:color w:val="auto"/>
          <w:sz w:val="24"/>
          <w:highlight w:val="none"/>
        </w:rPr>
        <w:tab/>
      </w:r>
      <w:r>
        <w:rPr>
          <w:rFonts w:hint="eastAsia" w:ascii="宋体" w:hAnsi="宋体"/>
          <w:color w:val="auto"/>
          <w:sz w:val="24"/>
          <w:highlight w:val="none"/>
        </w:rPr>
        <w:t>在报价截止期之后，除非单一来源谈判小组要求，单一来源供应商不得对其报价文件做任何修改。</w:t>
      </w:r>
    </w:p>
    <w:p>
      <w:pPr>
        <w:spacing w:line="360" w:lineRule="auto"/>
        <w:ind w:left="900" w:hanging="900"/>
        <w:rPr>
          <w:rFonts w:ascii="宋体" w:hAnsi="宋体"/>
          <w:color w:val="auto"/>
          <w:sz w:val="24"/>
          <w:highlight w:val="none"/>
          <w:shd w:val="pct10" w:color="auto" w:fill="FFFFFF"/>
        </w:rPr>
      </w:pPr>
      <w:r>
        <w:rPr>
          <w:rFonts w:hint="eastAsia" w:ascii="宋体" w:hAnsi="宋体"/>
          <w:color w:val="auto"/>
          <w:sz w:val="24"/>
          <w:highlight w:val="none"/>
        </w:rPr>
        <w:t>16.4</w:t>
      </w:r>
      <w:r>
        <w:rPr>
          <w:rFonts w:hint="eastAsia" w:ascii="宋体" w:hAnsi="宋体"/>
          <w:color w:val="auto"/>
          <w:sz w:val="24"/>
          <w:highlight w:val="none"/>
        </w:rPr>
        <w:tab/>
      </w:r>
      <w:r>
        <w:rPr>
          <w:rFonts w:hint="eastAsia" w:ascii="宋体" w:hAnsi="宋体"/>
          <w:color w:val="auto"/>
          <w:sz w:val="24"/>
          <w:highlight w:val="none"/>
        </w:rPr>
        <w:t>从报价截止期至单一来源供应商在报价书格式中确定的报价有效期之间，单一来源供应商不得撤回其报价，</w:t>
      </w:r>
      <w:r>
        <w:rPr>
          <w:rFonts w:ascii="宋体" w:hAnsi="宋体"/>
          <w:color w:val="auto"/>
          <w:sz w:val="24"/>
          <w:highlight w:val="none"/>
        </w:rPr>
        <w:t>擅自撤回投标文件，影响采购活动继续进行的，将依照《南京市政府采购供应商信用管理工作暂行办法》宁财规[2018]10号进行处理</w:t>
      </w:r>
      <w:r>
        <w:rPr>
          <w:rFonts w:hint="eastAsia" w:ascii="宋体" w:hAnsi="宋体"/>
          <w:color w:val="auto"/>
          <w:sz w:val="24"/>
          <w:highlight w:val="none"/>
        </w:rPr>
        <w:t>。</w:t>
      </w:r>
    </w:p>
    <w:p>
      <w:pPr>
        <w:pStyle w:val="3"/>
        <w:spacing w:before="0" w:line="360" w:lineRule="auto"/>
        <w:rPr>
          <w:rFonts w:ascii="宋体" w:hAnsi="宋体" w:eastAsia="宋体"/>
          <w:color w:val="auto"/>
          <w:sz w:val="24"/>
          <w:highlight w:val="none"/>
        </w:rPr>
      </w:pPr>
      <w:bookmarkStart w:id="149" w:name="_Toc520356163"/>
      <w:bookmarkStart w:id="150" w:name="_Toc367205252"/>
      <w:bookmarkStart w:id="151" w:name="_Toc292886361"/>
      <w:bookmarkStart w:id="152" w:name="_Toc434916134"/>
      <w:bookmarkStart w:id="153" w:name="_Toc292886201"/>
      <w:r>
        <w:rPr>
          <w:rFonts w:hint="eastAsia" w:ascii="宋体" w:hAnsi="宋体" w:eastAsia="宋体"/>
          <w:color w:val="auto"/>
          <w:sz w:val="24"/>
          <w:highlight w:val="none"/>
        </w:rPr>
        <w:t xml:space="preserve">五   </w:t>
      </w:r>
      <w:bookmarkEnd w:id="149"/>
      <w:r>
        <w:rPr>
          <w:rFonts w:hint="eastAsia" w:ascii="宋体" w:hAnsi="宋体" w:eastAsia="宋体"/>
          <w:color w:val="auto"/>
          <w:sz w:val="24"/>
          <w:highlight w:val="none"/>
        </w:rPr>
        <w:t>报价、谈判及评审</w:t>
      </w:r>
      <w:bookmarkEnd w:id="150"/>
      <w:bookmarkEnd w:id="151"/>
      <w:bookmarkEnd w:id="152"/>
      <w:bookmarkEnd w:id="153"/>
    </w:p>
    <w:p>
      <w:pPr>
        <w:pStyle w:val="5"/>
        <w:spacing w:before="0" w:after="0" w:line="360" w:lineRule="auto"/>
        <w:ind w:left="899" w:hanging="899"/>
        <w:rPr>
          <w:rFonts w:hAnsi="宋体"/>
          <w:color w:val="auto"/>
          <w:highlight w:val="none"/>
          <w:u w:val="none"/>
        </w:rPr>
      </w:pPr>
      <w:bookmarkStart w:id="154" w:name="_Toc269551501"/>
      <w:bookmarkStart w:id="155" w:name="_Toc520356164"/>
      <w:bookmarkStart w:id="156" w:name="_Toc199486195"/>
      <w:bookmarkStart w:id="157" w:name="_Toc367205253"/>
      <w:bookmarkStart w:id="158" w:name="_Toc292886202"/>
      <w:bookmarkStart w:id="159" w:name="_Toc292886362"/>
      <w:bookmarkStart w:id="160" w:name="_Toc434916135"/>
      <w:r>
        <w:rPr>
          <w:rFonts w:hint="eastAsia" w:hAnsi="宋体"/>
          <w:color w:val="auto"/>
          <w:highlight w:val="none"/>
          <w:u w:val="none"/>
        </w:rPr>
        <w:t>17.</w:t>
      </w:r>
      <w:r>
        <w:rPr>
          <w:rFonts w:hint="eastAsia" w:hAnsi="宋体"/>
          <w:color w:val="auto"/>
          <w:highlight w:val="none"/>
          <w:u w:val="none"/>
        </w:rPr>
        <w:tab/>
      </w:r>
      <w:bookmarkEnd w:id="154"/>
      <w:bookmarkEnd w:id="155"/>
      <w:bookmarkEnd w:id="156"/>
      <w:r>
        <w:rPr>
          <w:rFonts w:hint="eastAsia" w:hAnsi="宋体"/>
          <w:color w:val="auto"/>
          <w:highlight w:val="none"/>
          <w:u w:val="none"/>
        </w:rPr>
        <w:t>报价</w:t>
      </w:r>
      <w:r>
        <w:rPr>
          <w:rFonts w:hint="eastAsia" w:hAnsi="宋体"/>
          <w:color w:val="auto"/>
          <w:szCs w:val="24"/>
          <w:highlight w:val="none"/>
          <w:u w:val="none"/>
        </w:rPr>
        <w:t>与</w:t>
      </w:r>
      <w:bookmarkEnd w:id="157"/>
      <w:bookmarkEnd w:id="158"/>
      <w:bookmarkEnd w:id="159"/>
      <w:bookmarkEnd w:id="160"/>
      <w:r>
        <w:rPr>
          <w:rFonts w:hint="eastAsia" w:hAnsi="宋体"/>
          <w:color w:val="auto"/>
          <w:szCs w:val="24"/>
          <w:highlight w:val="none"/>
          <w:u w:val="none"/>
        </w:rPr>
        <w:t>谈判</w:t>
      </w:r>
    </w:p>
    <w:p>
      <w:pPr>
        <w:spacing w:line="360" w:lineRule="auto"/>
        <w:ind w:left="898" w:hanging="898"/>
        <w:rPr>
          <w:rFonts w:ascii="宋体" w:hAnsi="宋体"/>
          <w:color w:val="auto"/>
          <w:sz w:val="24"/>
          <w:highlight w:val="none"/>
        </w:rPr>
      </w:pPr>
      <w:bookmarkStart w:id="161" w:name="_Toc520356165"/>
      <w:r>
        <w:rPr>
          <w:rFonts w:hint="eastAsia" w:ascii="宋体" w:hAnsi="宋体"/>
          <w:color w:val="auto"/>
          <w:sz w:val="24"/>
          <w:highlight w:val="none"/>
        </w:rPr>
        <w:t>17.1</w:t>
      </w:r>
      <w:r>
        <w:rPr>
          <w:rFonts w:hint="eastAsia" w:ascii="宋体" w:hAnsi="宋体"/>
          <w:color w:val="auto"/>
          <w:sz w:val="24"/>
          <w:highlight w:val="none"/>
        </w:rPr>
        <w:tab/>
      </w:r>
      <w:r>
        <w:rPr>
          <w:rFonts w:hint="eastAsia" w:ascii="宋体" w:hAnsi="宋体"/>
          <w:color w:val="auto"/>
          <w:sz w:val="24"/>
          <w:highlight w:val="none"/>
        </w:rPr>
        <w:t>采购单位应当按采购文件的规定，在报价截止时间前和报价地点接受报价。报价时单一来源供应商授权代表、采购人和有关方面代表参加。代表人应签名报到以证明其出席。</w:t>
      </w:r>
    </w:p>
    <w:p>
      <w:pPr>
        <w:spacing w:line="360" w:lineRule="auto"/>
        <w:rPr>
          <w:rFonts w:ascii="宋体" w:hAnsi="宋体" w:cs="宋体"/>
          <w:color w:val="auto"/>
          <w:kern w:val="0"/>
          <w:sz w:val="24"/>
          <w:highlight w:val="none"/>
        </w:rPr>
      </w:pPr>
      <w:r>
        <w:rPr>
          <w:rFonts w:hint="eastAsia" w:ascii="宋体" w:hAnsi="宋体"/>
          <w:color w:val="auto"/>
          <w:sz w:val="24"/>
          <w:highlight w:val="none"/>
        </w:rPr>
        <w:t>17.2    单一来源谈判小组在单一来源供应商第一次报价之后组织谈判。</w:t>
      </w:r>
    </w:p>
    <w:p>
      <w:pPr>
        <w:spacing w:line="360" w:lineRule="auto"/>
        <w:rPr>
          <w:rFonts w:ascii="宋体" w:hAnsi="宋体"/>
          <w:color w:val="auto"/>
          <w:sz w:val="24"/>
          <w:highlight w:val="none"/>
        </w:rPr>
      </w:pPr>
      <w:r>
        <w:rPr>
          <w:rFonts w:hint="eastAsia" w:ascii="宋体" w:hAnsi="宋体"/>
          <w:color w:val="auto"/>
          <w:sz w:val="24"/>
          <w:highlight w:val="none"/>
        </w:rPr>
        <w:t>17.3    单一来源谈判小组</w:t>
      </w:r>
      <w:r>
        <w:rPr>
          <w:rFonts w:hint="eastAsia" w:ascii="宋体" w:hAnsi="宋体" w:cs="宋体"/>
          <w:color w:val="auto"/>
          <w:kern w:val="0"/>
          <w:sz w:val="24"/>
          <w:highlight w:val="none"/>
        </w:rPr>
        <w:t>所有成员集中与</w:t>
      </w:r>
      <w:r>
        <w:rPr>
          <w:rFonts w:hint="eastAsia" w:ascii="宋体" w:hAnsi="宋体"/>
          <w:color w:val="auto"/>
          <w:sz w:val="24"/>
          <w:highlight w:val="none"/>
        </w:rPr>
        <w:t>单一来源供应商</w:t>
      </w:r>
      <w:r>
        <w:rPr>
          <w:rFonts w:hint="eastAsia" w:ascii="宋体" w:hAnsi="宋体" w:cs="宋体"/>
          <w:color w:val="auto"/>
          <w:kern w:val="0"/>
          <w:sz w:val="24"/>
          <w:highlight w:val="none"/>
        </w:rPr>
        <w:t>进行谈判</w:t>
      </w:r>
      <w:r>
        <w:rPr>
          <w:rFonts w:hint="eastAsia" w:ascii="宋体" w:hAnsi="宋体"/>
          <w:color w:val="auto"/>
          <w:sz w:val="24"/>
          <w:highlight w:val="none"/>
        </w:rPr>
        <w:t>。</w:t>
      </w:r>
    </w:p>
    <w:p>
      <w:pPr>
        <w:spacing w:line="360" w:lineRule="auto"/>
        <w:ind w:left="898" w:hanging="898"/>
        <w:rPr>
          <w:rFonts w:ascii="宋体" w:hAnsi="宋体"/>
          <w:color w:val="auto"/>
          <w:sz w:val="24"/>
          <w:highlight w:val="none"/>
        </w:rPr>
      </w:pPr>
      <w:r>
        <w:rPr>
          <w:rFonts w:hint="eastAsia" w:ascii="宋体" w:hAnsi="宋体"/>
          <w:color w:val="auto"/>
          <w:sz w:val="24"/>
          <w:highlight w:val="none"/>
        </w:rPr>
        <w:t>17.4</w:t>
      </w:r>
      <w:r>
        <w:rPr>
          <w:rFonts w:hint="eastAsia" w:ascii="宋体" w:hAnsi="宋体"/>
          <w:color w:val="auto"/>
          <w:sz w:val="24"/>
          <w:highlight w:val="none"/>
        </w:rPr>
        <w:tab/>
      </w:r>
      <w:r>
        <w:rPr>
          <w:rFonts w:hint="eastAsia" w:ascii="宋体" w:hAnsi="宋体"/>
          <w:color w:val="auto"/>
          <w:sz w:val="24"/>
          <w:highlight w:val="none"/>
        </w:rPr>
        <w:t>所有报价须由单一来源供应商授权代表签字确认。</w:t>
      </w:r>
    </w:p>
    <w:p>
      <w:pPr>
        <w:spacing w:line="360" w:lineRule="auto"/>
        <w:ind w:left="898" w:hanging="898"/>
        <w:rPr>
          <w:rFonts w:ascii="宋体" w:hAnsi="宋体"/>
          <w:color w:val="auto"/>
          <w:sz w:val="24"/>
          <w:highlight w:val="none"/>
        </w:rPr>
      </w:pPr>
      <w:r>
        <w:rPr>
          <w:rFonts w:hint="eastAsia" w:ascii="宋体" w:hAnsi="宋体"/>
          <w:color w:val="auto"/>
          <w:sz w:val="24"/>
          <w:highlight w:val="none"/>
        </w:rPr>
        <w:t>17.5    谈判小组根据供应商提供的报价文件、</w:t>
      </w:r>
      <w:r>
        <w:rPr>
          <w:rFonts w:hint="eastAsia" w:ascii="宋体" w:hAnsi="宋体"/>
          <w:b/>
          <w:color w:val="auto"/>
          <w:sz w:val="24"/>
          <w:highlight w:val="none"/>
        </w:rPr>
        <w:t>采购标的成本、同类项目合同价格以及相关专利、专有技术等情况说明</w:t>
      </w:r>
      <w:r>
        <w:rPr>
          <w:rFonts w:hint="eastAsia" w:ascii="宋体" w:hAnsi="宋体"/>
          <w:color w:val="auto"/>
          <w:sz w:val="24"/>
          <w:highlight w:val="none"/>
        </w:rPr>
        <w:t>与供应商进行协商，在保证采购项目质量的基础上，商定最终合理的成交价格。</w:t>
      </w:r>
    </w:p>
    <w:p>
      <w:pPr>
        <w:pStyle w:val="5"/>
        <w:spacing w:before="0" w:after="0" w:line="360" w:lineRule="auto"/>
        <w:ind w:left="899" w:hanging="899"/>
        <w:rPr>
          <w:rFonts w:hAnsi="宋体"/>
          <w:color w:val="auto"/>
          <w:highlight w:val="none"/>
          <w:u w:val="none"/>
        </w:rPr>
      </w:pPr>
      <w:bookmarkStart w:id="162" w:name="_Toc367205254"/>
      <w:bookmarkStart w:id="163" w:name="_Toc292886363"/>
      <w:bookmarkStart w:id="164" w:name="_Toc434916136"/>
      <w:bookmarkStart w:id="165" w:name="_Toc269551502"/>
      <w:bookmarkStart w:id="166" w:name="_Toc199486196"/>
      <w:bookmarkStart w:id="167" w:name="_Toc292886203"/>
      <w:r>
        <w:rPr>
          <w:rFonts w:hint="eastAsia" w:hAnsi="宋体"/>
          <w:color w:val="auto"/>
          <w:highlight w:val="none"/>
          <w:u w:val="none"/>
        </w:rPr>
        <w:t>18.</w:t>
      </w:r>
      <w:r>
        <w:rPr>
          <w:rFonts w:hint="eastAsia" w:hAnsi="宋体"/>
          <w:color w:val="auto"/>
          <w:highlight w:val="none"/>
          <w:u w:val="none"/>
        </w:rPr>
        <w:tab/>
      </w:r>
      <w:bookmarkEnd w:id="161"/>
      <w:bookmarkEnd w:id="162"/>
      <w:bookmarkEnd w:id="163"/>
      <w:bookmarkEnd w:id="164"/>
      <w:bookmarkEnd w:id="165"/>
      <w:bookmarkEnd w:id="166"/>
      <w:bookmarkEnd w:id="167"/>
      <w:r>
        <w:rPr>
          <w:rFonts w:hint="eastAsia" w:hAnsi="宋体"/>
          <w:color w:val="auto"/>
          <w:highlight w:val="none"/>
          <w:u w:val="none"/>
        </w:rPr>
        <w:t>单一来源谈判小组</w:t>
      </w:r>
    </w:p>
    <w:p>
      <w:pPr>
        <w:pStyle w:val="4"/>
        <w:spacing w:line="360" w:lineRule="auto"/>
        <w:ind w:left="840" w:hanging="840" w:hangingChars="350"/>
        <w:rPr>
          <w:rFonts w:hAnsi="宋体"/>
          <w:color w:val="auto"/>
          <w:kern w:val="2"/>
          <w:szCs w:val="24"/>
          <w:highlight w:val="none"/>
        </w:rPr>
      </w:pPr>
      <w:r>
        <w:rPr>
          <w:rFonts w:hint="eastAsia" w:hAnsi="宋体"/>
          <w:color w:val="auto"/>
          <w:highlight w:val="none"/>
        </w:rPr>
        <w:t xml:space="preserve">18.1   </w:t>
      </w:r>
      <w:bookmarkStart w:id="168" w:name="_Toc520356166"/>
      <w:r>
        <w:rPr>
          <w:rFonts w:hint="eastAsia" w:hAnsi="宋体"/>
          <w:color w:val="auto"/>
          <w:kern w:val="2"/>
          <w:szCs w:val="24"/>
          <w:highlight w:val="none"/>
        </w:rPr>
        <w:t>单一来源谈判小组根据本次采购货物的特点进行组建，并负责谈判和评审工作。</w:t>
      </w:r>
    </w:p>
    <w:p>
      <w:pPr>
        <w:pStyle w:val="5"/>
        <w:spacing w:before="0" w:after="0" w:line="360" w:lineRule="auto"/>
        <w:ind w:left="899" w:hanging="899"/>
        <w:rPr>
          <w:rFonts w:hAnsi="宋体"/>
          <w:color w:val="auto"/>
          <w:highlight w:val="none"/>
          <w:u w:val="none"/>
        </w:rPr>
      </w:pPr>
      <w:bookmarkStart w:id="169" w:name="_Toc199486197"/>
      <w:bookmarkStart w:id="170" w:name="_Toc292886364"/>
      <w:bookmarkStart w:id="171" w:name="_Toc292886204"/>
      <w:bookmarkStart w:id="172" w:name="_Toc367205255"/>
      <w:bookmarkStart w:id="173" w:name="_Toc434916137"/>
      <w:bookmarkStart w:id="174" w:name="_Toc269551503"/>
      <w:r>
        <w:rPr>
          <w:rFonts w:hint="eastAsia" w:hAnsi="宋体"/>
          <w:color w:val="auto"/>
          <w:highlight w:val="none"/>
          <w:u w:val="none"/>
        </w:rPr>
        <w:t>19.</w:t>
      </w:r>
      <w:r>
        <w:rPr>
          <w:rFonts w:hint="eastAsia" w:hAnsi="宋体"/>
          <w:color w:val="auto"/>
          <w:highlight w:val="none"/>
          <w:u w:val="none"/>
        </w:rPr>
        <w:tab/>
      </w:r>
      <w:r>
        <w:rPr>
          <w:rFonts w:hint="eastAsia" w:hAnsi="宋体"/>
          <w:color w:val="auto"/>
          <w:highlight w:val="none"/>
          <w:u w:val="none"/>
        </w:rPr>
        <w:t>报价文件的初审</w:t>
      </w:r>
      <w:bookmarkEnd w:id="168"/>
      <w:r>
        <w:rPr>
          <w:rFonts w:hint="eastAsia" w:hAnsi="宋体"/>
          <w:color w:val="auto"/>
          <w:highlight w:val="none"/>
          <w:u w:val="none"/>
        </w:rPr>
        <w:t>与澄清</w:t>
      </w:r>
      <w:bookmarkEnd w:id="169"/>
      <w:bookmarkEnd w:id="170"/>
      <w:bookmarkEnd w:id="171"/>
      <w:bookmarkEnd w:id="172"/>
      <w:bookmarkEnd w:id="173"/>
      <w:bookmarkEnd w:id="174"/>
    </w:p>
    <w:p>
      <w:pPr>
        <w:pStyle w:val="4"/>
        <w:spacing w:line="360" w:lineRule="auto"/>
        <w:ind w:firstLine="0"/>
        <w:rPr>
          <w:rFonts w:hAnsi="宋体"/>
          <w:color w:val="auto"/>
          <w:highlight w:val="none"/>
        </w:rPr>
      </w:pPr>
      <w:r>
        <w:rPr>
          <w:rFonts w:hint="eastAsia" w:hAnsi="宋体"/>
          <w:color w:val="auto"/>
          <w:kern w:val="2"/>
          <w:szCs w:val="24"/>
          <w:highlight w:val="none"/>
        </w:rPr>
        <w:t>19.1</w:t>
      </w:r>
      <w:r>
        <w:rPr>
          <w:rFonts w:hint="eastAsia" w:hAnsi="宋体"/>
          <w:color w:val="auto"/>
          <w:highlight w:val="none"/>
        </w:rPr>
        <w:t xml:space="preserve">    报价文件的初审分为资格性检查和符合性检查。</w:t>
      </w:r>
    </w:p>
    <w:p>
      <w:pPr>
        <w:pStyle w:val="4"/>
        <w:spacing w:line="360" w:lineRule="auto"/>
        <w:ind w:left="960" w:hanging="960" w:hangingChars="400"/>
        <w:rPr>
          <w:rFonts w:hAnsi="宋体"/>
          <w:color w:val="auto"/>
          <w:highlight w:val="none"/>
        </w:rPr>
      </w:pPr>
      <w:r>
        <w:rPr>
          <w:rFonts w:hint="eastAsia" w:hAnsi="宋体"/>
          <w:color w:val="auto"/>
          <w:highlight w:val="none"/>
        </w:rPr>
        <w:t>19.1.1  资格性检查指依据法律、法规和采购文件的规定，对报价文件中的资格证明证明文件等进行审查，以确定单一来源供应商是否具备报价资格。</w:t>
      </w:r>
    </w:p>
    <w:p>
      <w:pPr>
        <w:pStyle w:val="4"/>
        <w:spacing w:line="360" w:lineRule="auto"/>
        <w:ind w:left="960" w:hanging="960" w:hangingChars="400"/>
        <w:rPr>
          <w:rFonts w:hAnsi="宋体"/>
          <w:color w:val="auto"/>
          <w:highlight w:val="none"/>
        </w:rPr>
      </w:pPr>
      <w:r>
        <w:rPr>
          <w:rFonts w:hint="eastAsia" w:hAnsi="宋体"/>
          <w:color w:val="auto"/>
          <w:highlight w:val="none"/>
        </w:rPr>
        <w:t>19.1.2  符合性检查指依据采购文件的规定，从报价文件的有效性、完整性和对采购文件的响应程度进行审查，以确定是否对采购文件的实质性要求作出响应。</w:t>
      </w:r>
      <w:bookmarkStart w:id="175" w:name="_Toc520356167"/>
    </w:p>
    <w:p>
      <w:pPr>
        <w:pStyle w:val="4"/>
        <w:spacing w:line="360" w:lineRule="auto"/>
        <w:ind w:firstLine="0"/>
        <w:rPr>
          <w:rFonts w:hAnsi="宋体"/>
          <w:color w:val="auto"/>
          <w:highlight w:val="none"/>
        </w:rPr>
      </w:pPr>
      <w:r>
        <w:rPr>
          <w:rFonts w:hint="eastAsia" w:hAnsi="宋体"/>
          <w:color w:val="auto"/>
          <w:highlight w:val="none"/>
        </w:rPr>
        <w:t>19.2</w:t>
      </w:r>
      <w:r>
        <w:rPr>
          <w:rFonts w:hint="eastAsia" w:hAnsi="宋体"/>
          <w:color w:val="auto"/>
          <w:highlight w:val="none"/>
        </w:rPr>
        <w:tab/>
      </w:r>
      <w:r>
        <w:rPr>
          <w:rFonts w:hint="eastAsia" w:hAnsi="宋体"/>
          <w:color w:val="auto"/>
          <w:highlight w:val="none"/>
        </w:rPr>
        <w:t>报价文件的澄清</w:t>
      </w:r>
    </w:p>
    <w:p>
      <w:pPr>
        <w:pStyle w:val="4"/>
        <w:spacing w:line="360" w:lineRule="auto"/>
        <w:ind w:left="960" w:hanging="960" w:hangingChars="400"/>
        <w:rPr>
          <w:rFonts w:hAnsi="宋体"/>
          <w:color w:val="auto"/>
          <w:highlight w:val="none"/>
        </w:rPr>
      </w:pPr>
      <w:r>
        <w:rPr>
          <w:rFonts w:hint="eastAsia" w:hAnsi="宋体"/>
          <w:color w:val="auto"/>
          <w:highlight w:val="none"/>
        </w:rPr>
        <w:t>19.2.1  在评审期间，单一来源谈判小组有权以书面方式要求单一来源供应商对其报价文件中含义不明确、对同类问题表述不一致或者有明显文字和计算错误的内容作必要的澄清。单一来源供应商澄清应在单一来源谈判小组规定的时间内以书面方式进行，并不得超出报价文件范围或者改变报价文件的实质性内容。</w:t>
      </w:r>
    </w:p>
    <w:p>
      <w:pPr>
        <w:numPr>
          <w:ilvl w:val="2"/>
          <w:numId w:val="7"/>
        </w:numPr>
        <w:spacing w:line="360" w:lineRule="auto"/>
        <w:rPr>
          <w:rFonts w:ascii="宋体" w:hAnsi="宋体"/>
          <w:color w:val="auto"/>
          <w:sz w:val="24"/>
          <w:highlight w:val="none"/>
        </w:rPr>
      </w:pPr>
      <w:r>
        <w:rPr>
          <w:rFonts w:hint="eastAsia" w:ascii="宋体" w:hAnsi="宋体"/>
          <w:color w:val="auto"/>
          <w:sz w:val="24"/>
          <w:highlight w:val="none"/>
        </w:rPr>
        <w:t xml:space="preserve">  澄清文件将作为报价文件内容的一部分。</w:t>
      </w:r>
    </w:p>
    <w:p>
      <w:pPr>
        <w:spacing w:line="360" w:lineRule="auto"/>
        <w:ind w:left="960" w:hanging="960" w:hangingChars="400"/>
        <w:rPr>
          <w:rFonts w:ascii="宋体" w:hAnsi="宋体"/>
          <w:color w:val="auto"/>
          <w:sz w:val="24"/>
          <w:highlight w:val="none"/>
        </w:rPr>
      </w:pPr>
      <w:r>
        <w:rPr>
          <w:rFonts w:hint="eastAsia" w:ascii="宋体" w:hAnsi="宋体"/>
          <w:color w:val="auto"/>
          <w:sz w:val="24"/>
          <w:highlight w:val="none"/>
        </w:rPr>
        <w:t>19.2.3  算术错误将按以下方法更正：报价时，“报价一览表”内容与报价文件中明细表内容不一致的，以“报价一览表” 为准；若单价计算的结果与总价不一致，以单价为准修改总价，但单价金额小数点有明显错位的，应以总价为准并修改单价；若用文字表示的数值与数字表示的数值不一致，以文字表示的数值为准。对不同文字文本报价文件的解释发生异议的，以中文文本为准。如果单一来源供应商不接受对其错误的更改，其报价将被拒绝。</w:t>
      </w:r>
    </w:p>
    <w:p>
      <w:pPr>
        <w:pStyle w:val="5"/>
        <w:spacing w:before="0" w:after="0" w:line="360" w:lineRule="auto"/>
        <w:ind w:left="899" w:hanging="899"/>
        <w:rPr>
          <w:rFonts w:hAnsi="宋体"/>
          <w:color w:val="auto"/>
          <w:highlight w:val="none"/>
          <w:u w:val="none"/>
        </w:rPr>
      </w:pPr>
      <w:bookmarkStart w:id="176" w:name="_Toc199486198"/>
      <w:bookmarkStart w:id="177" w:name="_Toc292886205"/>
      <w:bookmarkStart w:id="178" w:name="_Toc269551504"/>
      <w:bookmarkStart w:id="179" w:name="_Toc367205256"/>
      <w:bookmarkStart w:id="180" w:name="_Toc434916138"/>
      <w:bookmarkStart w:id="181" w:name="_Toc292886365"/>
      <w:r>
        <w:rPr>
          <w:rFonts w:hint="eastAsia" w:hAnsi="宋体"/>
          <w:color w:val="auto"/>
          <w:highlight w:val="none"/>
          <w:u w:val="none"/>
        </w:rPr>
        <w:t xml:space="preserve">20. </w:t>
      </w:r>
      <w:r>
        <w:rPr>
          <w:rFonts w:hAnsi="宋体"/>
          <w:color w:val="auto"/>
          <w:highlight w:val="none"/>
          <w:u w:val="none"/>
        </w:rPr>
        <w:t xml:space="preserve">    </w:t>
      </w:r>
      <w:r>
        <w:rPr>
          <w:rFonts w:hint="eastAsia" w:hAnsi="宋体"/>
          <w:color w:val="auto"/>
          <w:highlight w:val="none"/>
          <w:u w:val="none"/>
        </w:rPr>
        <w:t>报价偏离与非实质性响应</w:t>
      </w:r>
      <w:bookmarkEnd w:id="176"/>
      <w:bookmarkEnd w:id="177"/>
      <w:bookmarkEnd w:id="178"/>
      <w:bookmarkEnd w:id="179"/>
      <w:bookmarkEnd w:id="180"/>
      <w:bookmarkEnd w:id="181"/>
    </w:p>
    <w:p>
      <w:pPr>
        <w:spacing w:line="360" w:lineRule="auto"/>
        <w:ind w:left="960" w:hanging="960" w:hangingChars="400"/>
        <w:rPr>
          <w:rFonts w:ascii="宋体" w:hAnsi="宋体"/>
          <w:color w:val="auto"/>
          <w:sz w:val="24"/>
          <w:highlight w:val="none"/>
        </w:rPr>
      </w:pPr>
      <w:r>
        <w:rPr>
          <w:rFonts w:hint="eastAsia" w:ascii="宋体" w:hAnsi="宋体"/>
          <w:color w:val="auto"/>
          <w:sz w:val="24"/>
          <w:highlight w:val="none"/>
        </w:rPr>
        <w:t>20.1    对于报价文件中不构成实质性偏差的不正规、不一致或不规则，单一来源谈判小组可以接受。</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20.2    在评审之前，根据本须知的规定，单一来源谈判小组要审查每份报价文件是否实质上响应了采购文件的要求。实质上响应的报价应该是与采购文件要求的全部条款、条件和规格相符，没有重大偏离的报价。对关键条款，例如关于报价保证金、适用法律、缴税等内容的偏离、保留和反对，将被认为是实质上的偏离。单一来源谈判小组决定报价的响应性只根据报价文件本身的内容，而不寻求外部的证据。</w:t>
      </w:r>
    </w:p>
    <w:p>
      <w:pPr>
        <w:spacing w:line="360" w:lineRule="auto"/>
        <w:ind w:left="898" w:hanging="898"/>
        <w:rPr>
          <w:rFonts w:ascii="宋体" w:hAnsi="宋体"/>
          <w:color w:val="auto"/>
          <w:sz w:val="24"/>
          <w:highlight w:val="none"/>
        </w:rPr>
      </w:pPr>
      <w:r>
        <w:rPr>
          <w:rFonts w:hint="eastAsia" w:ascii="宋体" w:hAnsi="宋体"/>
          <w:color w:val="auto"/>
          <w:sz w:val="24"/>
          <w:highlight w:val="none"/>
        </w:rPr>
        <w:t>20.3</w:t>
      </w:r>
      <w:r>
        <w:rPr>
          <w:rFonts w:hint="eastAsia" w:ascii="宋体" w:hAnsi="宋体"/>
          <w:color w:val="auto"/>
          <w:sz w:val="24"/>
          <w:highlight w:val="none"/>
        </w:rPr>
        <w:tab/>
      </w:r>
      <w:r>
        <w:rPr>
          <w:rFonts w:hint="eastAsia" w:ascii="宋体" w:hAnsi="宋体"/>
          <w:color w:val="auto"/>
          <w:sz w:val="24"/>
          <w:highlight w:val="none"/>
        </w:rPr>
        <w:t>实质上没有响应采购文件要求的报价将被拒绝。单一来源供应商不得通过修正或撤销不符合要求的偏离或保留从而使其报价成为实质上响应的报价。如发现下列情况之一的，其报价将被拒绝：</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未按照采购文件规定要求密封、签署、盖章，或签字人无法定代表人有效委托书；</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 xml:space="preserve">不具备不符合国家或者采购文件规定的资格条件的； </w:t>
      </w:r>
    </w:p>
    <w:p>
      <w:pPr>
        <w:numPr>
          <w:ilvl w:val="0"/>
          <w:numId w:val="8"/>
        </w:numPr>
        <w:spacing w:line="360" w:lineRule="auto"/>
        <w:rPr>
          <w:rFonts w:ascii="宋体" w:hAnsi="宋体"/>
          <w:b/>
          <w:color w:val="auto"/>
          <w:sz w:val="24"/>
          <w:highlight w:val="none"/>
        </w:rPr>
      </w:pPr>
      <w:r>
        <w:rPr>
          <w:rFonts w:ascii="宋体" w:hAnsi="宋体"/>
          <w:b/>
          <w:color w:val="auto"/>
          <w:sz w:val="24"/>
          <w:highlight w:val="none"/>
        </w:rPr>
        <w:t>报价有效期不满足</w:t>
      </w:r>
      <w:r>
        <w:rPr>
          <w:rFonts w:hint="eastAsia" w:ascii="宋体" w:hAnsi="宋体"/>
          <w:b/>
          <w:color w:val="auto"/>
          <w:sz w:val="24"/>
          <w:highlight w:val="none"/>
        </w:rPr>
        <w:t>采购文件</w:t>
      </w:r>
      <w:r>
        <w:rPr>
          <w:rFonts w:ascii="宋体" w:hAnsi="宋体"/>
          <w:b/>
          <w:color w:val="auto"/>
          <w:sz w:val="24"/>
          <w:highlight w:val="none"/>
        </w:rPr>
        <w:t>要求的</w:t>
      </w:r>
      <w:r>
        <w:rPr>
          <w:rFonts w:hint="eastAsia" w:ascii="宋体" w:hAnsi="宋体"/>
          <w:b/>
          <w:color w:val="auto"/>
          <w:sz w:val="24"/>
          <w:highlight w:val="none"/>
        </w:rPr>
        <w:t>；</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供应商在同一份报价文件中，对同一采购货物报有两个或多个报价的，但采购文件要求提交备选报价的除外；</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报价低于成本或者高于采购文件设定的最高投标限价（分包预算金额）；</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不接受评委对投标文件中算术错误更正；</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供应商有弄虚作假、行贿等违法行为；</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不符合法律、法规和采购文件中规定的其他实质性要求的。</w:t>
      </w:r>
    </w:p>
    <w:p>
      <w:pPr>
        <w:pStyle w:val="5"/>
        <w:spacing w:before="0" w:after="0" w:line="360" w:lineRule="auto"/>
        <w:ind w:left="899" w:hanging="899"/>
        <w:rPr>
          <w:rFonts w:hAnsi="宋体"/>
          <w:color w:val="auto"/>
          <w:highlight w:val="none"/>
          <w:u w:val="none"/>
        </w:rPr>
      </w:pPr>
      <w:bookmarkStart w:id="182" w:name="_Toc367205257"/>
      <w:bookmarkStart w:id="183" w:name="_Toc434916139"/>
      <w:bookmarkStart w:id="184" w:name="_Toc292886206"/>
      <w:bookmarkStart w:id="185" w:name="_Toc269551505"/>
      <w:bookmarkStart w:id="186" w:name="_Toc199486199"/>
      <w:bookmarkStart w:id="187" w:name="_Toc292886366"/>
      <w:r>
        <w:rPr>
          <w:rFonts w:hint="eastAsia" w:hAnsi="宋体"/>
          <w:color w:val="auto"/>
          <w:highlight w:val="none"/>
          <w:u w:val="none"/>
        </w:rPr>
        <w:t>21.</w:t>
      </w:r>
      <w:r>
        <w:rPr>
          <w:rFonts w:hint="eastAsia" w:hAnsi="宋体"/>
          <w:color w:val="auto"/>
          <w:highlight w:val="none"/>
          <w:u w:val="none"/>
        </w:rPr>
        <w:tab/>
      </w:r>
      <w:bookmarkEnd w:id="175"/>
      <w:bookmarkEnd w:id="182"/>
      <w:bookmarkEnd w:id="183"/>
      <w:bookmarkEnd w:id="184"/>
      <w:bookmarkEnd w:id="185"/>
      <w:bookmarkEnd w:id="186"/>
      <w:bookmarkEnd w:id="187"/>
      <w:r>
        <w:rPr>
          <w:rFonts w:hint="eastAsia" w:hAnsi="宋体"/>
          <w:color w:val="auto"/>
          <w:highlight w:val="none"/>
          <w:u w:val="none"/>
        </w:rPr>
        <w:t>评审</w:t>
      </w:r>
    </w:p>
    <w:p>
      <w:pPr>
        <w:spacing w:line="360" w:lineRule="auto"/>
        <w:ind w:left="900" w:hanging="900"/>
        <w:rPr>
          <w:rFonts w:hAnsi="宋体"/>
          <w:color w:val="auto"/>
          <w:sz w:val="24"/>
          <w:highlight w:val="none"/>
        </w:rPr>
      </w:pPr>
      <w:r>
        <w:rPr>
          <w:rFonts w:hint="eastAsia" w:ascii="宋体" w:hAnsi="宋体"/>
          <w:color w:val="auto"/>
          <w:sz w:val="24"/>
          <w:highlight w:val="none"/>
        </w:rPr>
        <w:t>21.1</w:t>
      </w:r>
      <w:r>
        <w:rPr>
          <w:rFonts w:hint="eastAsia" w:ascii="宋体" w:hAnsi="宋体"/>
          <w:color w:val="auto"/>
          <w:sz w:val="24"/>
          <w:highlight w:val="none"/>
        </w:rPr>
        <w:tab/>
      </w:r>
      <w:r>
        <w:rPr>
          <w:rFonts w:hint="eastAsia" w:hAnsi="宋体"/>
          <w:color w:val="auto"/>
          <w:sz w:val="24"/>
          <w:highlight w:val="none"/>
        </w:rPr>
        <w:t>根据实际情况，采用下列评审方法：</w:t>
      </w:r>
    </w:p>
    <w:p>
      <w:pPr>
        <w:spacing w:line="360" w:lineRule="auto"/>
        <w:ind w:left="989" w:leftChars="414" w:hanging="120" w:hangingChars="50"/>
        <w:rPr>
          <w:rFonts w:ascii="宋体" w:hAnsi="宋体"/>
          <w:color w:val="auto"/>
          <w:sz w:val="24"/>
          <w:highlight w:val="none"/>
        </w:rPr>
      </w:pPr>
      <w:r>
        <w:rPr>
          <w:rFonts w:hint="eastAsia" w:ascii="宋体" w:hAnsi="宋体"/>
          <w:color w:val="auto"/>
          <w:sz w:val="24"/>
          <w:highlight w:val="none"/>
        </w:rPr>
        <w:t>在保证采购项目质量的基础上，商定最终合理的成交价格。</w:t>
      </w:r>
    </w:p>
    <w:p>
      <w:pPr>
        <w:pStyle w:val="5"/>
        <w:spacing w:before="0" w:after="0" w:line="360" w:lineRule="auto"/>
        <w:rPr>
          <w:rFonts w:hAnsi="宋体"/>
          <w:color w:val="auto"/>
          <w:highlight w:val="none"/>
          <w:u w:val="none"/>
        </w:rPr>
      </w:pPr>
      <w:bookmarkStart w:id="188" w:name="_Toc520356168"/>
      <w:bookmarkStart w:id="189" w:name="_Toc434916140"/>
      <w:bookmarkStart w:id="190" w:name="_Toc292886367"/>
      <w:bookmarkStart w:id="191" w:name="_Toc199486200"/>
      <w:bookmarkStart w:id="192" w:name="_Toc269551506"/>
      <w:bookmarkStart w:id="193" w:name="_Toc292886207"/>
      <w:bookmarkStart w:id="194" w:name="_Toc367205258"/>
      <w:r>
        <w:rPr>
          <w:rFonts w:hint="eastAsia" w:hAnsi="宋体"/>
          <w:color w:val="auto"/>
          <w:highlight w:val="none"/>
          <w:u w:val="none"/>
        </w:rPr>
        <w:t>22</w:t>
      </w:r>
      <w:r>
        <w:rPr>
          <w:rFonts w:hAnsi="宋体"/>
          <w:color w:val="auto"/>
          <w:highlight w:val="none"/>
          <w:u w:val="none"/>
        </w:rPr>
        <w:t>.</w:t>
      </w:r>
      <w:bookmarkEnd w:id="188"/>
      <w:r>
        <w:rPr>
          <w:rFonts w:hAnsi="宋体"/>
          <w:color w:val="auto"/>
          <w:highlight w:val="none"/>
          <w:u w:val="none"/>
        </w:rPr>
        <w:t xml:space="preserve">     </w:t>
      </w:r>
      <w:r>
        <w:rPr>
          <w:rFonts w:hint="eastAsia" w:hAnsi="宋体"/>
          <w:color w:val="auto"/>
          <w:highlight w:val="none"/>
          <w:u w:val="none"/>
        </w:rPr>
        <w:t>评审过程及保密原则</w:t>
      </w:r>
      <w:bookmarkEnd w:id="189"/>
      <w:bookmarkEnd w:id="190"/>
      <w:bookmarkEnd w:id="191"/>
      <w:bookmarkEnd w:id="192"/>
      <w:bookmarkEnd w:id="193"/>
      <w:bookmarkEnd w:id="194"/>
    </w:p>
    <w:p>
      <w:pPr>
        <w:spacing w:line="360" w:lineRule="auto"/>
        <w:ind w:left="900" w:hanging="900"/>
        <w:rPr>
          <w:rFonts w:ascii="宋体" w:hAnsi="宋体"/>
          <w:color w:val="auto"/>
          <w:sz w:val="24"/>
          <w:highlight w:val="none"/>
        </w:rPr>
      </w:pPr>
      <w:r>
        <w:rPr>
          <w:rFonts w:hint="eastAsia" w:ascii="宋体" w:hAnsi="宋体"/>
          <w:color w:val="auto"/>
          <w:sz w:val="24"/>
          <w:highlight w:val="none"/>
        </w:rPr>
        <w:t>22.1</w:t>
      </w:r>
      <w:r>
        <w:rPr>
          <w:rFonts w:hint="eastAsia" w:ascii="宋体" w:hAnsi="宋体"/>
          <w:color w:val="auto"/>
          <w:sz w:val="24"/>
          <w:highlight w:val="none"/>
        </w:rPr>
        <w:tab/>
      </w:r>
      <w:r>
        <w:rPr>
          <w:rFonts w:hint="eastAsia" w:ascii="宋体" w:hAnsi="宋体"/>
          <w:color w:val="auto"/>
          <w:sz w:val="24"/>
          <w:highlight w:val="none"/>
        </w:rPr>
        <w:t>报价之后，直到授予成交人合同止，凡与本次采购有关审查、澄清、评价和比较报价的有关资料以及成交意向等，均不得向单一来源供应商或其他无关的人员透露。</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22.2</w:t>
      </w:r>
      <w:r>
        <w:rPr>
          <w:rFonts w:hint="eastAsia" w:ascii="宋体" w:hAnsi="宋体"/>
          <w:color w:val="auto"/>
          <w:sz w:val="24"/>
          <w:highlight w:val="none"/>
        </w:rPr>
        <w:tab/>
      </w:r>
      <w:r>
        <w:rPr>
          <w:rFonts w:hint="eastAsia" w:ascii="宋体" w:hAnsi="宋体"/>
          <w:color w:val="auto"/>
          <w:sz w:val="24"/>
          <w:highlight w:val="none"/>
        </w:rPr>
        <w:t>在评审期间，单一来源供应商试图影响采购单位和单一来源谈判小组的任何非法活动，将导致其报价被拒绝，并承担相应的法律责任。</w:t>
      </w:r>
    </w:p>
    <w:p>
      <w:pPr>
        <w:pStyle w:val="3"/>
        <w:spacing w:before="0" w:line="360" w:lineRule="auto"/>
        <w:rPr>
          <w:rFonts w:ascii="宋体" w:hAnsi="宋体" w:eastAsia="宋体"/>
          <w:color w:val="auto"/>
          <w:sz w:val="24"/>
          <w:highlight w:val="none"/>
        </w:rPr>
      </w:pPr>
      <w:bookmarkStart w:id="195" w:name="_Toc520356169"/>
      <w:bookmarkStart w:id="196" w:name="_Toc292886368"/>
      <w:bookmarkStart w:id="197" w:name="_Toc292886208"/>
      <w:bookmarkStart w:id="198" w:name="_Toc367205259"/>
      <w:bookmarkStart w:id="199" w:name="_Toc434916141"/>
      <w:r>
        <w:rPr>
          <w:rFonts w:hint="eastAsia" w:ascii="宋体" w:hAnsi="宋体" w:eastAsia="宋体"/>
          <w:color w:val="auto"/>
          <w:sz w:val="24"/>
          <w:highlight w:val="none"/>
        </w:rPr>
        <w:t xml:space="preserve">六   </w:t>
      </w:r>
      <w:bookmarkEnd w:id="195"/>
      <w:r>
        <w:rPr>
          <w:rFonts w:hint="eastAsia" w:ascii="宋体" w:hAnsi="宋体" w:eastAsia="宋体"/>
          <w:color w:val="auto"/>
          <w:sz w:val="24"/>
          <w:highlight w:val="none"/>
        </w:rPr>
        <w:t>确定成交</w:t>
      </w:r>
      <w:bookmarkEnd w:id="196"/>
      <w:bookmarkEnd w:id="197"/>
      <w:bookmarkEnd w:id="198"/>
      <w:bookmarkEnd w:id="199"/>
    </w:p>
    <w:p>
      <w:pPr>
        <w:pStyle w:val="5"/>
        <w:spacing w:before="0" w:after="0" w:line="360" w:lineRule="auto"/>
        <w:rPr>
          <w:rFonts w:hAnsi="宋体"/>
          <w:color w:val="auto"/>
          <w:highlight w:val="none"/>
          <w:u w:val="none"/>
        </w:rPr>
      </w:pPr>
      <w:bookmarkStart w:id="200" w:name="_Toc520356170"/>
      <w:bookmarkStart w:id="201" w:name="_Toc269551508"/>
      <w:bookmarkStart w:id="202" w:name="_Toc367205260"/>
      <w:bookmarkStart w:id="203" w:name="_Ref467307010"/>
      <w:bookmarkStart w:id="204" w:name="_Toc434916142"/>
      <w:bookmarkStart w:id="205" w:name="_Toc292886209"/>
      <w:bookmarkStart w:id="206" w:name="_Toc199486202"/>
      <w:bookmarkStart w:id="207" w:name="_Toc292886369"/>
      <w:r>
        <w:rPr>
          <w:rFonts w:hint="eastAsia" w:hAnsi="宋体"/>
          <w:color w:val="auto"/>
          <w:highlight w:val="none"/>
          <w:u w:val="none"/>
        </w:rPr>
        <w:t>23</w:t>
      </w:r>
      <w:r>
        <w:rPr>
          <w:rFonts w:hAnsi="宋体"/>
          <w:color w:val="auto"/>
          <w:highlight w:val="none"/>
          <w:u w:val="none"/>
        </w:rPr>
        <w:t xml:space="preserve">.    </w:t>
      </w:r>
      <w:r>
        <w:rPr>
          <w:rFonts w:hint="eastAsia" w:hAnsi="宋体"/>
          <w:color w:val="auto"/>
          <w:highlight w:val="none"/>
          <w:u w:val="none"/>
        </w:rPr>
        <w:t>成交候选人的确定原则及标准</w:t>
      </w:r>
      <w:bookmarkEnd w:id="200"/>
      <w:bookmarkEnd w:id="201"/>
      <w:bookmarkEnd w:id="202"/>
      <w:bookmarkEnd w:id="203"/>
      <w:bookmarkEnd w:id="204"/>
      <w:bookmarkEnd w:id="205"/>
      <w:bookmarkEnd w:id="206"/>
      <w:bookmarkEnd w:id="207"/>
    </w:p>
    <w:p>
      <w:pPr>
        <w:spacing w:line="360" w:lineRule="auto"/>
        <w:ind w:left="900" w:hanging="900"/>
        <w:rPr>
          <w:rFonts w:ascii="宋体" w:hAnsi="宋体"/>
          <w:color w:val="auto"/>
          <w:sz w:val="24"/>
          <w:highlight w:val="none"/>
        </w:rPr>
      </w:pPr>
      <w:r>
        <w:rPr>
          <w:rFonts w:hint="eastAsia" w:ascii="宋体" w:hAnsi="宋体"/>
          <w:color w:val="auto"/>
          <w:sz w:val="24"/>
          <w:highlight w:val="none"/>
        </w:rPr>
        <w:t>23.1</w:t>
      </w:r>
      <w:r>
        <w:rPr>
          <w:rFonts w:hint="eastAsia" w:ascii="宋体" w:hAnsi="宋体"/>
          <w:color w:val="auto"/>
          <w:sz w:val="24"/>
          <w:highlight w:val="none"/>
        </w:rPr>
        <w:tab/>
      </w:r>
      <w:r>
        <w:rPr>
          <w:rFonts w:hint="eastAsia" w:ascii="宋体" w:hAnsi="宋体"/>
          <w:color w:val="auto"/>
          <w:sz w:val="24"/>
          <w:highlight w:val="none"/>
        </w:rPr>
        <w:t>除第25条规定外，按21.</w:t>
      </w:r>
      <w:r>
        <w:rPr>
          <w:rFonts w:ascii="宋体" w:hAnsi="宋体"/>
          <w:color w:val="auto"/>
          <w:sz w:val="24"/>
          <w:highlight w:val="none"/>
        </w:rPr>
        <w:t>1</w:t>
      </w:r>
      <w:r>
        <w:rPr>
          <w:rFonts w:hint="eastAsia" w:ascii="宋体" w:hAnsi="宋体"/>
          <w:color w:val="auto"/>
          <w:sz w:val="24"/>
          <w:highlight w:val="none"/>
        </w:rPr>
        <w:t>的要求确定成交候选人。</w:t>
      </w:r>
    </w:p>
    <w:p>
      <w:pPr>
        <w:pStyle w:val="5"/>
        <w:spacing w:before="0" w:after="0" w:line="360" w:lineRule="auto"/>
        <w:rPr>
          <w:rFonts w:hAnsi="宋体"/>
          <w:color w:val="auto"/>
          <w:highlight w:val="none"/>
          <w:u w:val="none"/>
        </w:rPr>
      </w:pPr>
      <w:bookmarkStart w:id="208" w:name="_Toc520356171"/>
      <w:bookmarkStart w:id="209" w:name="_Toc269551509"/>
      <w:bookmarkStart w:id="210" w:name="_Toc199486203"/>
      <w:bookmarkStart w:id="211" w:name="_Toc292886210"/>
      <w:bookmarkStart w:id="212" w:name="_Toc292886370"/>
      <w:bookmarkStart w:id="213" w:name="_Toc434916143"/>
      <w:bookmarkStart w:id="214" w:name="_Toc367205261"/>
      <w:r>
        <w:rPr>
          <w:rFonts w:hint="eastAsia" w:hAnsi="宋体"/>
          <w:color w:val="auto"/>
          <w:highlight w:val="none"/>
          <w:u w:val="none"/>
        </w:rPr>
        <w:t>24</w:t>
      </w:r>
      <w:bookmarkEnd w:id="208"/>
      <w:r>
        <w:rPr>
          <w:rFonts w:hint="eastAsia" w:hAnsi="宋体"/>
          <w:color w:val="auto"/>
          <w:highlight w:val="none"/>
          <w:u w:val="none"/>
        </w:rPr>
        <w:t>.</w:t>
      </w:r>
      <w:r>
        <w:rPr>
          <w:rFonts w:hAnsi="宋体"/>
          <w:color w:val="auto"/>
          <w:highlight w:val="none"/>
          <w:u w:val="none"/>
        </w:rPr>
        <w:t xml:space="preserve">    </w:t>
      </w:r>
      <w:r>
        <w:rPr>
          <w:rFonts w:hint="eastAsia" w:hAnsi="宋体"/>
          <w:color w:val="auto"/>
          <w:highlight w:val="none"/>
          <w:u w:val="none"/>
        </w:rPr>
        <w:t>确定成交人</w:t>
      </w:r>
      <w:bookmarkEnd w:id="209"/>
      <w:bookmarkEnd w:id="210"/>
      <w:bookmarkEnd w:id="211"/>
      <w:bookmarkEnd w:id="212"/>
      <w:bookmarkEnd w:id="213"/>
      <w:bookmarkEnd w:id="214"/>
    </w:p>
    <w:p>
      <w:pPr>
        <w:spacing w:line="360" w:lineRule="auto"/>
        <w:ind w:left="900" w:hanging="900"/>
        <w:rPr>
          <w:rFonts w:ascii="宋体" w:hAnsi="宋体"/>
          <w:color w:val="auto"/>
          <w:sz w:val="24"/>
          <w:highlight w:val="none"/>
        </w:rPr>
      </w:pPr>
      <w:r>
        <w:rPr>
          <w:rFonts w:hint="eastAsia" w:ascii="宋体" w:hAnsi="宋体"/>
          <w:color w:val="auto"/>
          <w:sz w:val="24"/>
          <w:highlight w:val="none"/>
        </w:rPr>
        <w:t>24.1</w:t>
      </w:r>
      <w:r>
        <w:rPr>
          <w:rFonts w:hint="eastAsia" w:ascii="宋体" w:hAnsi="宋体"/>
          <w:color w:val="auto"/>
          <w:sz w:val="24"/>
          <w:highlight w:val="none"/>
        </w:rPr>
        <w:tab/>
      </w:r>
      <w:r>
        <w:rPr>
          <w:rFonts w:hint="eastAsia" w:ascii="宋体" w:hAnsi="宋体"/>
          <w:color w:val="auto"/>
          <w:sz w:val="24"/>
          <w:highlight w:val="none"/>
        </w:rPr>
        <w:t>单一来源谈判小组将根据评审方法推荐成交候选人由采购人确认。或根据采购人的委托，单一来源谈判小组也可直接确定成交人。</w:t>
      </w:r>
    </w:p>
    <w:p>
      <w:pPr>
        <w:pStyle w:val="5"/>
        <w:tabs>
          <w:tab w:val="left" w:pos="900"/>
        </w:tabs>
        <w:spacing w:before="0" w:after="0" w:line="360" w:lineRule="auto"/>
        <w:ind w:left="-899" w:firstLine="898"/>
        <w:rPr>
          <w:rFonts w:hAnsi="宋体"/>
          <w:color w:val="auto"/>
          <w:highlight w:val="none"/>
          <w:u w:val="none"/>
        </w:rPr>
      </w:pPr>
      <w:bookmarkStart w:id="215" w:name="_Toc269551510"/>
      <w:bookmarkStart w:id="216" w:name="_Toc292886211"/>
      <w:bookmarkStart w:id="217" w:name="_Toc292886371"/>
      <w:bookmarkStart w:id="218" w:name="_Toc434916144"/>
      <w:bookmarkStart w:id="219" w:name="_Ref467306874"/>
      <w:bookmarkStart w:id="220" w:name="_Toc199486204"/>
      <w:bookmarkStart w:id="221" w:name="_Toc520356173"/>
      <w:bookmarkStart w:id="222" w:name="_Toc367205262"/>
      <w:r>
        <w:rPr>
          <w:rFonts w:hint="eastAsia" w:hAnsi="宋体"/>
          <w:color w:val="auto"/>
          <w:highlight w:val="none"/>
          <w:u w:val="none"/>
        </w:rPr>
        <w:t>25.</w:t>
      </w:r>
      <w:r>
        <w:rPr>
          <w:rFonts w:hAnsi="宋体"/>
          <w:color w:val="auto"/>
          <w:highlight w:val="none"/>
          <w:u w:val="none"/>
        </w:rPr>
        <w:t xml:space="preserve">    </w:t>
      </w:r>
      <w:r>
        <w:rPr>
          <w:rFonts w:hint="eastAsia" w:hAnsi="宋体"/>
          <w:color w:val="auto"/>
          <w:highlight w:val="none"/>
          <w:u w:val="none"/>
        </w:rPr>
        <w:t>接受和拒绝任何或所有报价的权利</w:t>
      </w:r>
      <w:bookmarkEnd w:id="215"/>
      <w:bookmarkEnd w:id="216"/>
      <w:bookmarkEnd w:id="217"/>
      <w:bookmarkEnd w:id="218"/>
      <w:bookmarkEnd w:id="219"/>
      <w:bookmarkEnd w:id="220"/>
      <w:bookmarkEnd w:id="221"/>
      <w:bookmarkEnd w:id="222"/>
    </w:p>
    <w:p>
      <w:pPr>
        <w:spacing w:line="360" w:lineRule="auto"/>
        <w:ind w:left="900" w:hanging="900"/>
        <w:rPr>
          <w:rFonts w:ascii="宋体" w:hAnsi="宋体"/>
          <w:color w:val="auto"/>
          <w:sz w:val="24"/>
          <w:highlight w:val="none"/>
        </w:rPr>
      </w:pPr>
      <w:r>
        <w:rPr>
          <w:rFonts w:hint="eastAsia" w:ascii="宋体" w:hAnsi="宋体"/>
          <w:color w:val="auto"/>
          <w:sz w:val="24"/>
          <w:highlight w:val="none"/>
        </w:rPr>
        <w:t>25.1</w:t>
      </w:r>
      <w:r>
        <w:rPr>
          <w:rFonts w:hint="eastAsia" w:ascii="宋体" w:hAnsi="宋体"/>
          <w:color w:val="auto"/>
          <w:sz w:val="24"/>
          <w:highlight w:val="none"/>
        </w:rPr>
        <w:tab/>
      </w:r>
      <w:r>
        <w:rPr>
          <w:rFonts w:hint="eastAsia" w:ascii="宋体" w:hAnsi="宋体"/>
          <w:color w:val="auto"/>
          <w:sz w:val="24"/>
          <w:highlight w:val="none"/>
        </w:rPr>
        <w:t>为维护国家和社会公共利益，采购人保留在确定成交人之前任何时候接受或拒绝单一来源供应商成交的权利，且对受影响的单一来源供应商不承担任何责任。</w:t>
      </w:r>
      <w:bookmarkStart w:id="223" w:name="_Toc520356174"/>
    </w:p>
    <w:p>
      <w:pPr>
        <w:pStyle w:val="5"/>
        <w:spacing w:before="0" w:after="0" w:line="360" w:lineRule="auto"/>
        <w:rPr>
          <w:rFonts w:hAnsi="宋体"/>
          <w:color w:val="auto"/>
          <w:highlight w:val="none"/>
          <w:u w:val="none"/>
        </w:rPr>
      </w:pPr>
      <w:bookmarkStart w:id="224" w:name="_Toc292886212"/>
      <w:bookmarkStart w:id="225" w:name="_Toc434916145"/>
      <w:bookmarkStart w:id="226" w:name="_Toc199486205"/>
      <w:bookmarkStart w:id="227" w:name="_Toc269551511"/>
      <w:bookmarkStart w:id="228" w:name="_Toc367205263"/>
      <w:bookmarkStart w:id="229" w:name="_Toc292886372"/>
      <w:r>
        <w:rPr>
          <w:rFonts w:hint="eastAsia" w:hAnsi="宋体"/>
          <w:color w:val="auto"/>
          <w:highlight w:val="none"/>
          <w:u w:val="none"/>
        </w:rPr>
        <w:t>26.</w:t>
      </w:r>
      <w:r>
        <w:rPr>
          <w:rFonts w:hAnsi="宋体"/>
          <w:color w:val="auto"/>
          <w:highlight w:val="none"/>
          <w:u w:val="none"/>
        </w:rPr>
        <w:t xml:space="preserve">    </w:t>
      </w:r>
      <w:r>
        <w:rPr>
          <w:rFonts w:hint="eastAsia" w:hAnsi="宋体"/>
          <w:color w:val="auto"/>
          <w:highlight w:val="none"/>
          <w:u w:val="none"/>
        </w:rPr>
        <w:t>成交通知书</w:t>
      </w:r>
      <w:bookmarkEnd w:id="223"/>
      <w:bookmarkEnd w:id="224"/>
      <w:bookmarkEnd w:id="225"/>
      <w:bookmarkEnd w:id="226"/>
      <w:bookmarkEnd w:id="227"/>
      <w:bookmarkEnd w:id="228"/>
      <w:bookmarkEnd w:id="229"/>
    </w:p>
    <w:p>
      <w:pPr>
        <w:spacing w:line="360" w:lineRule="auto"/>
        <w:ind w:left="900" w:hanging="900"/>
        <w:rPr>
          <w:rFonts w:ascii="宋体" w:hAnsi="宋体"/>
          <w:color w:val="auto"/>
          <w:sz w:val="24"/>
          <w:highlight w:val="none"/>
        </w:rPr>
      </w:pPr>
      <w:r>
        <w:rPr>
          <w:rFonts w:hint="eastAsia" w:ascii="宋体" w:hAnsi="宋体"/>
          <w:color w:val="auto"/>
          <w:sz w:val="24"/>
          <w:highlight w:val="none"/>
        </w:rPr>
        <w:t>26.1</w:t>
      </w:r>
      <w:r>
        <w:rPr>
          <w:rFonts w:hint="eastAsia" w:ascii="宋体" w:hAnsi="宋体"/>
          <w:color w:val="auto"/>
          <w:sz w:val="24"/>
          <w:highlight w:val="none"/>
        </w:rPr>
        <w:tab/>
      </w:r>
      <w:r>
        <w:rPr>
          <w:rFonts w:hint="eastAsia" w:ascii="宋体" w:hAnsi="宋体"/>
          <w:color w:val="auto"/>
          <w:sz w:val="24"/>
          <w:highlight w:val="none"/>
        </w:rPr>
        <w:t>在报价有效期内，成交人确定后，采购单位应当在法律</w:t>
      </w:r>
      <w:r>
        <w:rPr>
          <w:rFonts w:ascii="宋体" w:hAnsi="宋体"/>
          <w:color w:val="auto"/>
          <w:sz w:val="24"/>
          <w:highlight w:val="none"/>
        </w:rPr>
        <w:t>以及行政法规</w:t>
      </w:r>
      <w:r>
        <w:rPr>
          <w:rFonts w:hint="eastAsia" w:ascii="宋体" w:hAnsi="宋体"/>
          <w:color w:val="auto"/>
          <w:sz w:val="24"/>
          <w:highlight w:val="none"/>
        </w:rPr>
        <w:t>规定</w:t>
      </w:r>
      <w:r>
        <w:rPr>
          <w:rFonts w:ascii="宋体" w:hAnsi="宋体"/>
          <w:color w:val="auto"/>
          <w:sz w:val="24"/>
          <w:highlight w:val="none"/>
        </w:rPr>
        <w:t>的</w:t>
      </w:r>
      <w:r>
        <w:rPr>
          <w:rFonts w:hint="eastAsia" w:ascii="宋体" w:hAnsi="宋体"/>
          <w:color w:val="auto"/>
          <w:sz w:val="24"/>
          <w:highlight w:val="none"/>
        </w:rPr>
        <w:t>媒体平台上发布成交结果，并以书面形式向成交人发出成交通知书。</w:t>
      </w:r>
    </w:p>
    <w:p>
      <w:pPr>
        <w:spacing w:line="360" w:lineRule="auto"/>
        <w:rPr>
          <w:rFonts w:ascii="宋体" w:hAnsi="宋体"/>
          <w:color w:val="auto"/>
          <w:sz w:val="24"/>
          <w:highlight w:val="none"/>
        </w:rPr>
      </w:pPr>
      <w:r>
        <w:rPr>
          <w:rFonts w:hint="eastAsia" w:ascii="宋体" w:hAnsi="宋体"/>
          <w:color w:val="auto"/>
          <w:sz w:val="24"/>
          <w:highlight w:val="none"/>
        </w:rPr>
        <w:t>26.2</w:t>
      </w:r>
      <w:r>
        <w:rPr>
          <w:rFonts w:hint="eastAsia" w:ascii="宋体" w:hAnsi="宋体"/>
          <w:color w:val="auto"/>
          <w:sz w:val="24"/>
          <w:highlight w:val="none"/>
        </w:rPr>
        <w:tab/>
      </w:r>
      <w:r>
        <w:rPr>
          <w:rFonts w:hint="eastAsia" w:ascii="宋体" w:hAnsi="宋体"/>
          <w:color w:val="auto"/>
          <w:sz w:val="24"/>
          <w:highlight w:val="none"/>
        </w:rPr>
        <w:t>成交通知书是合同的组成部分。对采购人和成交人具有同等法律效力。</w:t>
      </w:r>
    </w:p>
    <w:p>
      <w:pPr>
        <w:pStyle w:val="5"/>
        <w:spacing w:before="0" w:after="0" w:line="360" w:lineRule="auto"/>
        <w:ind w:left="899" w:hanging="899"/>
        <w:rPr>
          <w:rFonts w:hAnsi="宋体"/>
          <w:color w:val="auto"/>
          <w:highlight w:val="none"/>
          <w:u w:val="none"/>
        </w:rPr>
      </w:pPr>
      <w:bookmarkStart w:id="230" w:name="_Toc367205264"/>
      <w:bookmarkStart w:id="231" w:name="_Ref467306978"/>
      <w:bookmarkStart w:id="232" w:name="_Ref467307062"/>
      <w:bookmarkStart w:id="233" w:name="_Toc292886373"/>
      <w:bookmarkStart w:id="234" w:name="_Ref467307204"/>
      <w:bookmarkStart w:id="235" w:name="_Ref467306377"/>
      <w:bookmarkStart w:id="236" w:name="_Toc199486206"/>
      <w:bookmarkStart w:id="237" w:name="_Toc520356175"/>
      <w:bookmarkStart w:id="238" w:name="_Toc269551512"/>
      <w:bookmarkStart w:id="239" w:name="_Toc292886213"/>
      <w:bookmarkStart w:id="240" w:name="_Toc434916146"/>
      <w:r>
        <w:rPr>
          <w:rFonts w:hint="eastAsia" w:hAnsi="宋体"/>
          <w:color w:val="auto"/>
          <w:highlight w:val="none"/>
          <w:u w:val="none"/>
        </w:rPr>
        <w:t>27.</w:t>
      </w:r>
      <w:r>
        <w:rPr>
          <w:rFonts w:hint="eastAsia" w:hAnsi="宋体"/>
          <w:color w:val="auto"/>
          <w:highlight w:val="none"/>
          <w:u w:val="none"/>
        </w:rPr>
        <w:tab/>
      </w:r>
      <w:r>
        <w:rPr>
          <w:rFonts w:hint="eastAsia" w:hAnsi="宋体"/>
          <w:color w:val="auto"/>
          <w:highlight w:val="none"/>
          <w:u w:val="none"/>
        </w:rPr>
        <w:t>签订合同</w:t>
      </w:r>
      <w:bookmarkEnd w:id="230"/>
      <w:bookmarkEnd w:id="231"/>
      <w:bookmarkEnd w:id="232"/>
      <w:bookmarkEnd w:id="233"/>
      <w:bookmarkEnd w:id="234"/>
      <w:bookmarkEnd w:id="235"/>
      <w:bookmarkEnd w:id="236"/>
      <w:bookmarkEnd w:id="237"/>
      <w:bookmarkEnd w:id="238"/>
      <w:bookmarkEnd w:id="239"/>
      <w:bookmarkEnd w:id="240"/>
    </w:p>
    <w:p>
      <w:pPr>
        <w:spacing w:line="360" w:lineRule="auto"/>
        <w:ind w:left="900" w:hanging="900"/>
        <w:rPr>
          <w:rFonts w:ascii="宋体" w:hAnsi="宋体"/>
          <w:color w:val="auto"/>
          <w:sz w:val="24"/>
          <w:highlight w:val="none"/>
        </w:rPr>
      </w:pPr>
      <w:r>
        <w:rPr>
          <w:rFonts w:hint="eastAsia" w:ascii="宋体" w:hAnsi="宋体"/>
          <w:color w:val="auto"/>
          <w:sz w:val="24"/>
          <w:highlight w:val="none"/>
        </w:rPr>
        <w:t>27.1</w:t>
      </w:r>
      <w:r>
        <w:rPr>
          <w:rFonts w:hint="eastAsia" w:ascii="宋体" w:hAnsi="宋体"/>
          <w:color w:val="auto"/>
          <w:sz w:val="24"/>
          <w:highlight w:val="none"/>
        </w:rPr>
        <w:tab/>
      </w:r>
      <w:r>
        <w:rPr>
          <w:rFonts w:hint="eastAsia" w:ascii="宋体" w:hAnsi="宋体"/>
          <w:color w:val="auto"/>
          <w:sz w:val="24"/>
          <w:highlight w:val="none"/>
        </w:rPr>
        <w:t>成交供应商应当自成交通知书发出之日起30日内与采购人签订合同，否则按报价后撤回报价处理。</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27.2</w:t>
      </w:r>
      <w:r>
        <w:rPr>
          <w:rFonts w:hint="eastAsia" w:ascii="宋体" w:hAnsi="宋体"/>
          <w:color w:val="auto"/>
          <w:sz w:val="24"/>
          <w:highlight w:val="none"/>
        </w:rPr>
        <w:tab/>
      </w:r>
      <w:bookmarkStart w:id="241" w:name="_Ref467306425"/>
      <w:bookmarkStart w:id="242" w:name="_Ref467307090"/>
      <w:bookmarkStart w:id="243" w:name="_Toc520356176"/>
      <w:r>
        <w:rPr>
          <w:rFonts w:hint="eastAsia" w:ascii="宋体" w:hAnsi="宋体"/>
          <w:color w:val="auto"/>
          <w:sz w:val="24"/>
          <w:highlight w:val="none"/>
        </w:rPr>
        <w:t>采购文件、成交供应商的报价文件及其澄清文件、成交通知书等，均为签订合同的依据。</w:t>
      </w:r>
    </w:p>
    <w:bookmarkEnd w:id="241"/>
    <w:bookmarkEnd w:id="242"/>
    <w:bookmarkEnd w:id="243"/>
    <w:p>
      <w:pPr>
        <w:pStyle w:val="3"/>
        <w:spacing w:before="0" w:line="360" w:lineRule="auto"/>
        <w:rPr>
          <w:rFonts w:ascii="宋体" w:hAnsi="宋体" w:eastAsia="宋体"/>
          <w:color w:val="auto"/>
          <w:sz w:val="24"/>
          <w:highlight w:val="none"/>
        </w:rPr>
      </w:pPr>
      <w:bookmarkStart w:id="244" w:name="_Toc292886215"/>
      <w:bookmarkStart w:id="245" w:name="_Toc292886375"/>
      <w:bookmarkStart w:id="246" w:name="_Toc367205266"/>
      <w:bookmarkStart w:id="247" w:name="_Toc434916148"/>
      <w:r>
        <w:rPr>
          <w:rFonts w:hint="eastAsia" w:ascii="宋体" w:hAnsi="宋体" w:eastAsia="宋体"/>
          <w:color w:val="auto"/>
          <w:sz w:val="24"/>
          <w:highlight w:val="none"/>
        </w:rPr>
        <w:t>七  其他</w:t>
      </w:r>
      <w:bookmarkEnd w:id="244"/>
      <w:bookmarkEnd w:id="245"/>
      <w:bookmarkEnd w:id="246"/>
      <w:bookmarkEnd w:id="247"/>
    </w:p>
    <w:p>
      <w:pPr>
        <w:pStyle w:val="5"/>
        <w:spacing w:before="0" w:after="0" w:line="360" w:lineRule="auto"/>
        <w:rPr>
          <w:rFonts w:hAnsi="宋体"/>
          <w:color w:val="auto"/>
          <w:highlight w:val="none"/>
        </w:rPr>
      </w:pPr>
      <w:bookmarkStart w:id="248" w:name="_Toc367205269"/>
      <w:bookmarkStart w:id="249" w:name="_Toc434916150"/>
      <w:bookmarkStart w:id="250" w:name="_Toc292886218"/>
      <w:bookmarkStart w:id="251" w:name="_Toc269551517"/>
      <w:bookmarkStart w:id="252" w:name="_Toc292886378"/>
      <w:r>
        <w:rPr>
          <w:rFonts w:hint="eastAsia" w:hAnsi="宋体"/>
          <w:color w:val="auto"/>
          <w:highlight w:val="none"/>
          <w:u w:val="none"/>
        </w:rPr>
        <w:t>30</w:t>
      </w:r>
      <w:r>
        <w:rPr>
          <w:rFonts w:hAnsi="宋体"/>
          <w:color w:val="auto"/>
          <w:highlight w:val="none"/>
          <w:u w:val="none"/>
        </w:rPr>
        <w:t xml:space="preserve">.   </w:t>
      </w:r>
      <w:bookmarkEnd w:id="248"/>
      <w:bookmarkEnd w:id="249"/>
      <w:bookmarkEnd w:id="250"/>
      <w:bookmarkEnd w:id="251"/>
      <w:bookmarkEnd w:id="252"/>
      <w:r>
        <w:rPr>
          <w:rFonts w:hint="eastAsia" w:hAnsi="宋体"/>
          <w:color w:val="auto"/>
          <w:highlight w:val="none"/>
        </w:rPr>
        <w:t>本项目的采购文件解释权属于采购单位。</w:t>
      </w:r>
    </w:p>
    <w:p>
      <w:pPr>
        <w:widowControl/>
        <w:jc w:val="left"/>
        <w:rPr>
          <w:rFonts w:ascii="宋体" w:hAnsi="宋体"/>
          <w:color w:val="auto"/>
          <w:sz w:val="24"/>
          <w:highlight w:val="none"/>
        </w:rPr>
      </w:pPr>
      <w:r>
        <w:rPr>
          <w:rFonts w:ascii="宋体" w:hAnsi="宋体"/>
          <w:color w:val="auto"/>
          <w:sz w:val="24"/>
          <w:highlight w:val="none"/>
        </w:rPr>
        <w:br w:type="page"/>
      </w: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pStyle w:val="2"/>
        <w:spacing w:before="0" w:after="0" w:line="360" w:lineRule="auto"/>
        <w:rPr>
          <w:rFonts w:hAnsi="宋体"/>
          <w:bCs/>
          <w:color w:val="auto"/>
          <w:sz w:val="44"/>
          <w:szCs w:val="44"/>
          <w:highlight w:val="none"/>
        </w:rPr>
      </w:pPr>
      <w:bookmarkStart w:id="253" w:name="_Hlt487900425"/>
      <w:bookmarkEnd w:id="253"/>
      <w:bookmarkStart w:id="254" w:name="_Toc534807402"/>
      <w:r>
        <w:rPr>
          <w:rFonts w:hint="eastAsia"/>
          <w:color w:val="auto"/>
          <w:sz w:val="44"/>
          <w:szCs w:val="44"/>
          <w:highlight w:val="none"/>
        </w:rPr>
        <w:t>第四章</w:t>
      </w:r>
      <w:r>
        <w:rPr>
          <w:rFonts w:hint="eastAsia" w:hAnsi="宋体"/>
          <w:color w:val="auto"/>
          <w:sz w:val="44"/>
          <w:szCs w:val="44"/>
          <w:highlight w:val="none"/>
        </w:rPr>
        <w:t xml:space="preserve">  </w:t>
      </w:r>
      <w:r>
        <w:rPr>
          <w:rFonts w:hint="eastAsia"/>
          <w:color w:val="auto"/>
          <w:sz w:val="44"/>
          <w:szCs w:val="44"/>
          <w:highlight w:val="none"/>
        </w:rPr>
        <w:t>采购合同格式</w:t>
      </w:r>
      <w:bookmarkEnd w:id="254"/>
      <w:bookmarkStart w:id="255" w:name="_Hlt487972895"/>
      <w:bookmarkEnd w:id="255"/>
      <w:bookmarkStart w:id="256" w:name="_Toc487900382"/>
    </w:p>
    <w:bookmarkEnd w:id="256"/>
    <w:p>
      <w:pPr>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（以最终签订</w:t>
      </w:r>
      <w:r>
        <w:rPr>
          <w:rFonts w:ascii="宋体" w:hAnsi="宋体"/>
          <w:b/>
          <w:color w:val="auto"/>
          <w:sz w:val="44"/>
          <w:szCs w:val="44"/>
          <w:highlight w:val="none"/>
        </w:rPr>
        <w:t>合同为准</w:t>
      </w:r>
      <w:r>
        <w:rPr>
          <w:rFonts w:hint="eastAsia" w:ascii="宋体" w:hAnsi="宋体"/>
          <w:b/>
          <w:color w:val="auto"/>
          <w:sz w:val="44"/>
          <w:szCs w:val="44"/>
          <w:highlight w:val="none"/>
        </w:rPr>
        <w:t>）</w:t>
      </w:r>
    </w:p>
    <w:p>
      <w:pPr>
        <w:spacing w:after="120" w:afterLines="50" w:line="420" w:lineRule="exact"/>
        <w:ind w:right="1576" w:firstLine="560" w:firstLineChars="200"/>
        <w:jc w:val="right"/>
        <w:rPr>
          <w:rFonts w:ascii="宋体" w:hAnsi="宋体"/>
          <w:color w:val="auto"/>
          <w:sz w:val="28"/>
          <w:highlight w:val="none"/>
        </w:rPr>
      </w:pPr>
      <w:r>
        <w:rPr>
          <w:rFonts w:ascii="宋体" w:hAnsi="宋体"/>
          <w:color w:val="auto"/>
          <w:sz w:val="28"/>
          <w:highlight w:val="none"/>
        </w:rPr>
        <w:br w:type="page"/>
      </w:r>
    </w:p>
    <w:p>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南京农业大学（图书馆（文化遗产部）IEL数据库）</w:t>
      </w:r>
    </w:p>
    <w:p>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采购合同（服务类模板）</w:t>
      </w:r>
    </w:p>
    <w:p>
      <w:pPr>
        <w:spacing w:line="360" w:lineRule="auto"/>
        <w:rPr>
          <w:rFonts w:ascii="宋体" w:hAnsi="宋体"/>
          <w:color w:val="auto"/>
          <w:sz w:val="24"/>
          <w:highlight w:val="none"/>
        </w:rPr>
      </w:pPr>
    </w:p>
    <w:p>
      <w:pPr>
        <w:spacing w:line="360" w:lineRule="auto"/>
        <w:rPr>
          <w:rFonts w:ascii="宋体" w:hAnsi="宋体"/>
          <w:color w:val="auto"/>
          <w:sz w:val="24"/>
          <w:highlight w:val="none"/>
          <w:u w:val="single"/>
        </w:rPr>
      </w:pPr>
      <w:r>
        <w:rPr>
          <w:rFonts w:hint="eastAsia" w:ascii="宋体" w:hAnsi="宋体"/>
          <w:color w:val="auto"/>
          <w:sz w:val="24"/>
          <w:highlight w:val="none"/>
        </w:rPr>
        <w:t>甲方（采购人）：</w:t>
      </w:r>
      <w:r>
        <w:rPr>
          <w:rFonts w:hint="eastAsia" w:ascii="宋体" w:hAnsi="宋体"/>
          <w:color w:val="auto"/>
          <w:sz w:val="24"/>
          <w:highlight w:val="none"/>
          <w:u w:val="single"/>
        </w:rPr>
        <w:t xml:space="preserve">南京农业大学              </w:t>
      </w:r>
      <w:r>
        <w:rPr>
          <w:rFonts w:hint="eastAsia" w:ascii="宋体" w:hAnsi="宋体"/>
          <w:color w:val="auto"/>
          <w:sz w:val="24"/>
          <w:highlight w:val="none"/>
        </w:rPr>
        <w:t xml:space="preserve">      </w:t>
      </w:r>
    </w:p>
    <w:p>
      <w:pPr>
        <w:spacing w:line="360" w:lineRule="auto"/>
        <w:rPr>
          <w:rFonts w:ascii="宋体" w:hAnsi="宋体"/>
          <w:color w:val="auto"/>
          <w:sz w:val="24"/>
          <w:highlight w:val="none"/>
          <w:u w:val="single"/>
        </w:rPr>
      </w:pPr>
      <w:r>
        <w:rPr>
          <w:rFonts w:hint="eastAsia" w:ascii="宋体" w:hAnsi="宋体"/>
          <w:color w:val="auto"/>
          <w:sz w:val="24"/>
          <w:highlight w:val="none"/>
        </w:rPr>
        <w:t>乙方（供应商）：</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u w:val="single"/>
        </w:rPr>
      </w:pPr>
      <w:r>
        <w:rPr>
          <w:rFonts w:hint="eastAsia" w:ascii="宋体" w:hAnsi="宋体"/>
          <w:color w:val="auto"/>
          <w:sz w:val="24"/>
          <w:highlight w:val="none"/>
        </w:rPr>
        <w:t>招标编号：</w:t>
      </w:r>
      <w:r>
        <w:rPr>
          <w:rFonts w:ascii="宋体" w:hAnsi="宋体"/>
          <w:color w:val="auto"/>
          <w:sz w:val="24"/>
          <w:highlight w:val="none"/>
          <w:u w:val="single"/>
        </w:rPr>
        <w:t xml:space="preserve"> ZF20220078</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u w:val="single"/>
        </w:rPr>
      </w:pPr>
      <w:r>
        <w:rPr>
          <w:rFonts w:hint="eastAsia" w:ascii="宋体" w:hAnsi="宋体"/>
          <w:color w:val="auto"/>
          <w:sz w:val="24"/>
          <w:highlight w:val="none"/>
        </w:rPr>
        <w:t>签订时间：</w:t>
      </w:r>
      <w:r>
        <w:rPr>
          <w:rFonts w:hint="eastAsia" w:ascii="宋体" w:hAnsi="宋体"/>
          <w:color w:val="auto"/>
          <w:sz w:val="24"/>
          <w:highlight w:val="none"/>
          <w:u w:val="single"/>
        </w:rPr>
        <w:t xml:space="preserve">               </w:t>
      </w:r>
    </w:p>
    <w:p>
      <w:pPr>
        <w:widowControl/>
        <w:spacing w:line="360" w:lineRule="auto"/>
        <w:ind w:firstLine="316" w:firstLineChars="131"/>
        <w:rPr>
          <w:rFonts w:ascii="宋体" w:hAnsi="宋体"/>
          <w:b/>
          <w:color w:val="auto"/>
          <w:sz w:val="24"/>
          <w:highlight w:val="none"/>
        </w:rPr>
      </w:pPr>
    </w:p>
    <w:p>
      <w:pPr>
        <w:snapToGrid w:val="0"/>
        <w:spacing w:line="360" w:lineRule="auto"/>
        <w:ind w:firstLine="480"/>
        <w:rPr>
          <w:rFonts w:ascii="宋体" w:hAnsi="宋体"/>
          <w:color w:val="auto"/>
          <w:sz w:val="24"/>
          <w:highlight w:val="none"/>
        </w:rPr>
      </w:pPr>
      <w:r>
        <w:rPr>
          <w:rFonts w:hint="eastAsia" w:ascii="宋体" w:hAnsi="宋体"/>
          <w:color w:val="auto"/>
          <w:sz w:val="24"/>
          <w:highlight w:val="none"/>
        </w:rPr>
        <w:t>根据《中华人民共和国政府采购法》、《中华人民共和国民法典》</w:t>
      </w:r>
      <w:r>
        <w:rPr>
          <w:rFonts w:ascii="宋体" w:hAnsi="宋体"/>
          <w:color w:val="auto"/>
          <w:sz w:val="24"/>
          <w:highlight w:val="none"/>
        </w:rPr>
        <w:t>等法律、法规规定</w:t>
      </w:r>
      <w:r>
        <w:rPr>
          <w:rFonts w:hint="eastAsia" w:ascii="宋体" w:hAnsi="宋体"/>
          <w:color w:val="auto"/>
          <w:sz w:val="24"/>
          <w:highlight w:val="none"/>
        </w:rPr>
        <w:t>，按照项目名称：</w:t>
      </w:r>
      <w:r>
        <w:rPr>
          <w:rFonts w:hint="eastAsia" w:ascii="宋体" w:hAnsi="宋体"/>
          <w:color w:val="auto"/>
          <w:sz w:val="24"/>
          <w:highlight w:val="none"/>
          <w:u w:val="single"/>
        </w:rPr>
        <w:t>图书馆（文化遗产部）IEL数据库（项目编号：</w:t>
      </w:r>
      <w:r>
        <w:rPr>
          <w:rFonts w:ascii="宋体" w:hAnsi="宋体"/>
          <w:color w:val="auto"/>
          <w:sz w:val="24"/>
          <w:highlight w:val="none"/>
          <w:u w:val="single"/>
        </w:rPr>
        <w:t>ZF20220078</w:t>
      </w:r>
      <w:r>
        <w:rPr>
          <w:rFonts w:hint="eastAsia" w:ascii="宋体" w:hAnsi="宋体"/>
          <w:color w:val="auto"/>
          <w:sz w:val="24"/>
          <w:highlight w:val="none"/>
          <w:u w:val="single"/>
        </w:rPr>
        <w:t>）</w:t>
      </w:r>
      <w:r>
        <w:rPr>
          <w:rFonts w:hint="eastAsia" w:ascii="宋体" w:hAnsi="宋体"/>
          <w:color w:val="auto"/>
          <w:sz w:val="24"/>
          <w:highlight w:val="none"/>
        </w:rPr>
        <w:t>采购文件、投标（响应）文件规定条款和中标（成交）供应商承诺，甲方向乙方购置相关货物，双方同意以下内容：</w:t>
      </w:r>
    </w:p>
    <w:p>
      <w:pPr>
        <w:snapToGrid w:val="0"/>
        <w:spacing w:line="360" w:lineRule="auto"/>
        <w:ind w:firstLine="480"/>
        <w:rPr>
          <w:rFonts w:ascii="宋体" w:hAnsi="宋体"/>
          <w:b/>
          <w:color w:val="auto"/>
          <w:sz w:val="24"/>
          <w:highlight w:val="none"/>
        </w:rPr>
      </w:pPr>
      <w:r>
        <w:rPr>
          <w:rFonts w:ascii="宋体" w:hAnsi="宋体"/>
          <w:b/>
          <w:color w:val="auto"/>
          <w:sz w:val="24"/>
          <w:highlight w:val="none"/>
        </w:rPr>
        <w:t>第一条</w:t>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服务内容</w:t>
      </w:r>
    </w:p>
    <w:p>
      <w:pPr>
        <w:spacing w:line="360" w:lineRule="auto"/>
        <w:ind w:firstLine="482" w:firstLineChars="200"/>
        <w:rPr>
          <w:rFonts w:ascii="宋体" w:hAnsi="宋体"/>
          <w:color w:val="auto"/>
          <w:sz w:val="24"/>
          <w:highlight w:val="none"/>
        </w:rPr>
      </w:pPr>
      <w:r>
        <w:rPr>
          <w:rFonts w:hint="eastAsia" w:ascii="宋体" w:hAnsi="宋体"/>
          <w:b/>
          <w:bCs/>
          <w:color w:val="auto"/>
          <w:sz w:val="24"/>
          <w:highlight w:val="none"/>
        </w:rPr>
        <w:t>1、</w:t>
      </w:r>
      <w:bookmarkStart w:id="257" w:name="_Hlk100842205"/>
      <w:r>
        <w:rPr>
          <w:rFonts w:ascii="宋体" w:hAnsi="宋体"/>
          <w:b/>
          <w:bCs/>
          <w:color w:val="auto"/>
          <w:sz w:val="24"/>
          <w:highlight w:val="none"/>
        </w:rPr>
        <w:t>本</w:t>
      </w:r>
      <w:r>
        <w:rPr>
          <w:rFonts w:hint="eastAsia" w:ascii="宋体" w:hAnsi="宋体"/>
          <w:b/>
          <w:bCs/>
          <w:color w:val="auto"/>
          <w:sz w:val="24"/>
          <w:highlight w:val="none"/>
        </w:rPr>
        <w:t>项目订购期两年：</w:t>
      </w:r>
      <w:r>
        <w:rPr>
          <w:rFonts w:ascii="宋体" w:hAnsi="宋体"/>
          <w:color w:val="auto"/>
          <w:sz w:val="24"/>
          <w:highlight w:val="none"/>
          <w:u w:val="single"/>
        </w:rPr>
        <w:t>2022年  月   日</w:t>
      </w:r>
      <w:r>
        <w:rPr>
          <w:rFonts w:hint="eastAsia" w:ascii="宋体" w:hAnsi="宋体"/>
          <w:color w:val="auto"/>
          <w:sz w:val="24"/>
          <w:highlight w:val="none"/>
          <w:u w:val="single"/>
        </w:rPr>
        <w:t>至</w:t>
      </w:r>
      <w:r>
        <w:rPr>
          <w:rFonts w:ascii="宋体" w:hAnsi="宋体"/>
          <w:color w:val="auto"/>
          <w:sz w:val="24"/>
          <w:highlight w:val="none"/>
          <w:u w:val="single"/>
        </w:rPr>
        <w:t xml:space="preserve">    年  月  日</w:t>
      </w:r>
      <w:bookmarkEnd w:id="257"/>
      <w:r>
        <w:rPr>
          <w:rFonts w:hint="eastAsia" w:ascii="宋体" w:hAnsi="宋体"/>
          <w:color w:val="auto"/>
          <w:sz w:val="24"/>
          <w:highlight w:val="none"/>
        </w:rPr>
        <w:t>，</w:t>
      </w:r>
      <w:r>
        <w:rPr>
          <w:rFonts w:hint="eastAsia" w:ascii="宋体" w:hAnsi="宋体"/>
          <w:bCs/>
          <w:color w:val="auto"/>
          <w:sz w:val="24"/>
          <w:highlight w:val="none"/>
        </w:rPr>
        <w:t>合同一年一签。</w:t>
      </w:r>
      <w:r>
        <w:rPr>
          <w:rFonts w:hint="eastAsia" w:ascii="宋体" w:hAnsi="宋体" w:cs="宋体"/>
          <w:color w:val="auto"/>
          <w:sz w:val="24"/>
          <w:highlight w:val="none"/>
        </w:rPr>
        <w:t>如果任何一方需要终止或中止本合同；应提前</w:t>
      </w:r>
      <w:r>
        <w:rPr>
          <w:rFonts w:hint="eastAsia" w:ascii="宋体" w:hAnsi="宋体" w:cs="宋体"/>
          <w:color w:val="auto"/>
          <w:sz w:val="24"/>
          <w:highlight w:val="none"/>
          <w:u w:val="single"/>
        </w:rPr>
        <w:t>15</w:t>
      </w:r>
      <w:r>
        <w:rPr>
          <w:rFonts w:hint="eastAsia" w:ascii="宋体" w:hAnsi="宋体" w:cs="宋体"/>
          <w:color w:val="auto"/>
          <w:sz w:val="24"/>
          <w:highlight w:val="none"/>
        </w:rPr>
        <w:t>天书面通知对方。</w:t>
      </w:r>
    </w:p>
    <w:p>
      <w:pPr>
        <w:snapToGrid w:val="0"/>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乙方所提供的</w:t>
      </w:r>
      <w:r>
        <w:rPr>
          <w:rFonts w:hint="eastAsia" w:ascii="宋体" w:hAnsi="宋体"/>
          <w:color w:val="auto"/>
          <w:sz w:val="24"/>
          <w:highlight w:val="none"/>
        </w:rPr>
        <w:t>服务</w:t>
      </w:r>
      <w:r>
        <w:rPr>
          <w:rFonts w:ascii="宋体" w:hAnsi="宋体"/>
          <w:color w:val="auto"/>
          <w:sz w:val="24"/>
          <w:highlight w:val="none"/>
        </w:rPr>
        <w:t>必须与</w:t>
      </w:r>
      <w:r>
        <w:rPr>
          <w:rFonts w:hint="eastAsia" w:ascii="宋体" w:hAnsi="宋体"/>
          <w:color w:val="auto"/>
          <w:sz w:val="24"/>
          <w:highlight w:val="none"/>
        </w:rPr>
        <w:t>采购</w:t>
      </w:r>
      <w:r>
        <w:rPr>
          <w:rFonts w:ascii="宋体" w:hAnsi="宋体"/>
          <w:color w:val="auto"/>
          <w:sz w:val="24"/>
          <w:highlight w:val="none"/>
        </w:rPr>
        <w:t>文件和承诺相一致。</w:t>
      </w:r>
      <w:r>
        <w:rPr>
          <w:rFonts w:hint="eastAsia" w:ascii="宋体" w:hAnsi="宋体"/>
          <w:color w:val="auto"/>
          <w:sz w:val="24"/>
          <w:highlight w:val="none"/>
        </w:rPr>
        <w:t>服务内容、时限、完成标准、服务费见合同附件A。</w:t>
      </w:r>
    </w:p>
    <w:p>
      <w:pPr>
        <w:snapToGrid w:val="0"/>
        <w:spacing w:line="360" w:lineRule="auto"/>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A所载明的该项服务内容对应的服务费为限。</w:t>
      </w:r>
    </w:p>
    <w:p>
      <w:pPr>
        <w:snapToGrid w:val="0"/>
        <w:spacing w:line="360" w:lineRule="auto"/>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、乙方的服务承诺：</w:t>
      </w:r>
    </w:p>
    <w:p>
      <w:pPr>
        <w:snapToGrid w:val="0"/>
        <w:spacing w:line="360" w:lineRule="auto"/>
        <w:ind w:firstLine="240"/>
        <w:rPr>
          <w:rFonts w:ascii="宋体" w:hAnsi="宋体"/>
          <w:color w:val="auto"/>
          <w:sz w:val="24"/>
          <w:highlight w:val="none"/>
        </w:rPr>
      </w:pPr>
      <w:r>
        <w:rPr>
          <w:rFonts w:hint="eastAsia" w:ascii="宋体" w:hAnsi="宋体"/>
          <w:color w:val="auto"/>
          <w:sz w:val="24"/>
          <w:highlight w:val="none"/>
        </w:rPr>
        <w:t>（1）乙方接到甲方通过电话、信函传真、电子邮件、网上提交等方式提出关于附件A所列服务的请求后，在两个有效工作日内给予响应并提供服务。若乙方未予以响应，视为乙方认可甲方要求，乙方必须按照请求执行。</w:t>
      </w:r>
    </w:p>
    <w:p>
      <w:pPr>
        <w:snapToGrid w:val="0"/>
        <w:spacing w:line="360" w:lineRule="auto"/>
        <w:ind w:firstLine="240"/>
        <w:rPr>
          <w:rFonts w:ascii="宋体" w:hAnsi="宋体"/>
          <w:color w:val="auto"/>
          <w:sz w:val="24"/>
          <w:highlight w:val="none"/>
        </w:rPr>
      </w:pPr>
      <w:r>
        <w:rPr>
          <w:rFonts w:hint="eastAsia" w:ascii="宋体" w:hAnsi="宋体"/>
          <w:color w:val="auto"/>
          <w:sz w:val="24"/>
          <w:highlight w:val="none"/>
        </w:rPr>
        <w:t>（2）乙方提供给甲方的服务，必须按照合同附件A规定的标准进行。</w:t>
      </w:r>
    </w:p>
    <w:p>
      <w:pPr>
        <w:snapToGrid w:val="0"/>
        <w:spacing w:line="360" w:lineRule="auto"/>
        <w:ind w:firstLine="240"/>
        <w:rPr>
          <w:rFonts w:ascii="宋体" w:hAnsi="宋体"/>
          <w:color w:val="auto"/>
          <w:sz w:val="24"/>
          <w:highlight w:val="none"/>
        </w:rPr>
      </w:pPr>
      <w:r>
        <w:rPr>
          <w:rFonts w:hint="eastAsia" w:ascii="宋体" w:hAnsi="宋体"/>
          <w:color w:val="auto"/>
          <w:sz w:val="24"/>
          <w:highlight w:val="none"/>
        </w:rPr>
        <w:t>（3）乙方应保证疫情防控期间服务符合相关防疫要求。</w:t>
      </w:r>
    </w:p>
    <w:p>
      <w:pPr>
        <w:snapToGrid w:val="0"/>
        <w:spacing w:line="360" w:lineRule="auto"/>
        <w:ind w:firstLine="480"/>
        <w:rPr>
          <w:rFonts w:ascii="宋体" w:hAnsi="宋体"/>
          <w:b/>
          <w:color w:val="auto"/>
          <w:sz w:val="24"/>
          <w:highlight w:val="none"/>
        </w:rPr>
      </w:pPr>
      <w:r>
        <w:rPr>
          <w:rFonts w:hint="eastAsia" w:ascii="宋体" w:hAnsi="宋体"/>
          <w:b/>
          <w:color w:val="auto"/>
          <w:sz w:val="24"/>
          <w:highlight w:val="none"/>
        </w:rPr>
        <w:t xml:space="preserve">第二条 </w:t>
      </w:r>
      <w:r>
        <w:rPr>
          <w:rFonts w:ascii="宋体" w:hAnsi="宋体"/>
          <w:b/>
          <w:color w:val="auto"/>
          <w:sz w:val="24"/>
          <w:highlight w:val="none"/>
        </w:rPr>
        <w:t xml:space="preserve"> </w:t>
      </w:r>
      <w:r>
        <w:rPr>
          <w:rFonts w:hint="eastAsia" w:ascii="宋体" w:hAnsi="宋体"/>
          <w:b/>
          <w:color w:val="auto"/>
          <w:sz w:val="24"/>
          <w:highlight w:val="none"/>
        </w:rPr>
        <w:t>服务费及支付方式</w:t>
      </w:r>
    </w:p>
    <w:p>
      <w:pPr>
        <w:spacing w:line="360" w:lineRule="auto"/>
        <w:ind w:firstLine="560"/>
        <w:rPr>
          <w:rFonts w:ascii="宋体" w:hAnsi="宋体"/>
          <w:color w:val="auto"/>
          <w:sz w:val="24"/>
          <w:highlight w:val="none"/>
          <w:u w:val="single"/>
        </w:rPr>
      </w:pPr>
      <w:r>
        <w:rPr>
          <w:rFonts w:hint="eastAsia" w:ascii="宋体" w:hAnsi="宋体"/>
          <w:color w:val="auto"/>
          <w:sz w:val="24"/>
          <w:highlight w:val="none"/>
        </w:rPr>
        <w:t>1、</w:t>
      </w:r>
      <w:r>
        <w:rPr>
          <w:rFonts w:hint="eastAsia" w:ascii="宋体" w:hAnsi="宋体"/>
          <w:b/>
          <w:color w:val="auto"/>
          <w:sz w:val="24"/>
          <w:highlight w:val="none"/>
        </w:rPr>
        <w:t>服务费：</w:t>
      </w:r>
      <w:r>
        <w:rPr>
          <w:rFonts w:ascii="宋体" w:hAnsi="宋体" w:cs="Arial"/>
          <w:color w:val="auto"/>
          <w:sz w:val="24"/>
          <w:highlight w:val="none"/>
        </w:rPr>
        <w:t>本</w:t>
      </w:r>
      <w:r>
        <w:rPr>
          <w:rFonts w:hint="eastAsia" w:ascii="宋体" w:hAnsi="宋体" w:cs="Arial"/>
          <w:color w:val="auto"/>
          <w:sz w:val="24"/>
          <w:highlight w:val="none"/>
        </w:rPr>
        <w:t>项目</w:t>
      </w:r>
      <w:r>
        <w:rPr>
          <w:rFonts w:ascii="宋体" w:hAnsi="宋体"/>
          <w:color w:val="auto"/>
          <w:sz w:val="24"/>
          <w:highlight w:val="none"/>
        </w:rPr>
        <w:t>服务费合计金额</w:t>
      </w:r>
      <w:r>
        <w:rPr>
          <w:rFonts w:ascii="宋体" w:hAnsi="宋体" w:cs="Arial"/>
          <w:color w:val="auto"/>
          <w:sz w:val="24"/>
          <w:highlight w:val="none"/>
        </w:rPr>
        <w:t>为</w:t>
      </w:r>
      <w:r>
        <w:rPr>
          <w:rFonts w:hint="eastAsia" w:ascii="宋体" w:hAnsi="宋体" w:cs="Arial"/>
          <w:color w:val="auto"/>
          <w:sz w:val="24"/>
          <w:highlight w:val="none"/>
        </w:rPr>
        <w:t>（币种： ）</w:t>
      </w:r>
      <w:r>
        <w:rPr>
          <w:rFonts w:ascii="宋体" w:hAnsi="宋体"/>
          <w:color w:val="auto"/>
          <w:sz w:val="24"/>
          <w:highlight w:val="none"/>
          <w:u w:val="single"/>
        </w:rPr>
        <w:t>（大写）</w:t>
      </w:r>
      <w:r>
        <w:rPr>
          <w:rFonts w:hint="eastAsia" w:ascii="宋体" w:hAnsi="宋体"/>
          <w:color w:val="auto"/>
          <w:sz w:val="24"/>
          <w:highlight w:val="none"/>
          <w:u w:val="single"/>
        </w:rPr>
        <w:t>：元整；</w:t>
      </w:r>
      <w:r>
        <w:rPr>
          <w:rFonts w:ascii="宋体" w:hAnsi="宋体"/>
          <w:color w:val="auto"/>
          <w:sz w:val="24"/>
          <w:highlight w:val="none"/>
          <w:u w:val="single"/>
        </w:rPr>
        <w:t>（小写）</w:t>
      </w:r>
      <w:r>
        <w:rPr>
          <w:rFonts w:hint="eastAsia" w:ascii="宋体" w:hAnsi="宋体"/>
          <w:color w:val="auto"/>
          <w:sz w:val="24"/>
          <w:highlight w:val="none"/>
          <w:u w:val="single"/>
        </w:rPr>
        <w:t>：元整。</w:t>
      </w:r>
    </w:p>
    <w:p>
      <w:pPr>
        <w:spacing w:line="360" w:lineRule="auto"/>
        <w:ind w:firstLine="482" w:firstLineChars="200"/>
        <w:rPr>
          <w:rFonts w:ascii="宋体" w:hAnsi="宋体" w:cstheme="minorBidi"/>
          <w:color w:val="auto"/>
          <w:sz w:val="24"/>
          <w:highlight w:val="none"/>
        </w:rPr>
      </w:pPr>
      <w:bookmarkStart w:id="258" w:name="_Hlk100217770"/>
      <w:r>
        <w:rPr>
          <w:rFonts w:ascii="宋体" w:hAnsi="宋体"/>
          <w:b/>
          <w:bCs/>
          <w:color w:val="auto"/>
          <w:sz w:val="24"/>
          <w:highlight w:val="none"/>
        </w:rPr>
        <w:t>服务费</w:t>
      </w:r>
      <w:r>
        <w:rPr>
          <w:rFonts w:hint="eastAsia" w:ascii="宋体" w:hAnsi="宋体"/>
          <w:b/>
          <w:bCs/>
          <w:color w:val="auto"/>
          <w:sz w:val="24"/>
          <w:highlight w:val="none"/>
        </w:rPr>
        <w:t>具体的付款方式</w:t>
      </w:r>
      <w:r>
        <w:rPr>
          <w:rFonts w:hint="eastAsia" w:ascii="宋体" w:hAnsi="宋体"/>
          <w:color w:val="auto"/>
          <w:sz w:val="24"/>
          <w:highlight w:val="none"/>
        </w:rPr>
        <w:t>：</w:t>
      </w:r>
      <w:r>
        <w:rPr>
          <w:rFonts w:hint="eastAsia" w:ascii="宋体" w:hAnsi="宋体"/>
          <w:bCs/>
          <w:color w:val="auto"/>
          <w:sz w:val="24"/>
          <w:highlight w:val="none"/>
        </w:rPr>
        <w:t>订购期两年，合同一年一签。</w:t>
      </w:r>
      <w:r>
        <w:rPr>
          <w:rFonts w:hint="eastAsia" w:ascii="宋体" w:hAnsi="宋体"/>
          <w:color w:val="auto"/>
          <w:sz w:val="24"/>
          <w:highlight w:val="none"/>
        </w:rPr>
        <w:t>每年按合同约定一次性支付年度全额款项。</w:t>
      </w:r>
    </w:p>
    <w:bookmarkEnd w:id="258"/>
    <w:p>
      <w:pPr>
        <w:spacing w:line="360" w:lineRule="auto"/>
        <w:ind w:firstLine="420"/>
        <w:rPr>
          <w:rFonts w:ascii="宋体" w:hAnsi="宋体"/>
          <w:color w:val="auto"/>
          <w:sz w:val="24"/>
          <w:highlight w:val="none"/>
        </w:rPr>
      </w:pPr>
      <w:r>
        <w:rPr>
          <w:rFonts w:hint="eastAsia" w:ascii="宋体" w:hAnsi="宋体"/>
          <w:color w:val="auto"/>
          <w:sz w:val="24"/>
          <w:highlight w:val="none"/>
        </w:rPr>
        <w:t>2、本合同约定服务费仅包含采购范围内列明的工作。如果甲方要求扩大项目范围，或因甲方改变已经议定的项目内容导致乙方需重复进行项目步骤，对于增加工作部分，双方应及时协商，无论服务费是否发生变更，均需签署《项目变更补充合同》作为依据。</w:t>
      </w:r>
    </w:p>
    <w:p>
      <w:pPr>
        <w:snapToGrid w:val="0"/>
        <w:spacing w:line="360" w:lineRule="auto"/>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、甲乙双方一致同意项目服务费按计件项目以人民币形式支付。在乙方发出该项目工作的服务费账单及正式有效的税务发票后</w:t>
      </w:r>
      <w:r>
        <w:rPr>
          <w:rFonts w:hint="eastAsia" w:ascii="宋体" w:hAnsi="宋体"/>
          <w:color w:val="auto"/>
          <w:sz w:val="24"/>
          <w:highlight w:val="none"/>
          <w:u w:val="single"/>
        </w:rPr>
        <w:t>30</w:t>
      </w:r>
      <w:r>
        <w:rPr>
          <w:rFonts w:hint="eastAsia" w:ascii="宋体" w:hAnsi="宋体"/>
          <w:color w:val="auto"/>
          <w:sz w:val="24"/>
          <w:highlight w:val="none"/>
        </w:rPr>
        <w:t>个工作日内，向乙方支付约定的服务费。</w:t>
      </w:r>
    </w:p>
    <w:p>
      <w:pPr>
        <w:snapToGrid w:val="0"/>
        <w:spacing w:line="360" w:lineRule="auto"/>
        <w:ind w:left="-61" w:leftChars="-29" w:firstLine="588" w:firstLineChars="245"/>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、有关发票方面的任何问题，甲方应在收到发票后及时书面通知乙方，乙方应及时作出解释或解决问题，以使甲方能按时付款。</w:t>
      </w:r>
    </w:p>
    <w:p>
      <w:pPr>
        <w:snapToGrid w:val="0"/>
        <w:spacing w:line="360" w:lineRule="auto"/>
        <w:ind w:left="-61" w:leftChars="-29" w:firstLine="588" w:firstLineChars="245"/>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、乙方将自行承担项目实施范围内合理的差旅费用。</w:t>
      </w:r>
    </w:p>
    <w:p>
      <w:pPr>
        <w:snapToGrid w:val="0"/>
        <w:spacing w:line="360" w:lineRule="auto"/>
        <w:ind w:left="-61" w:leftChars="-29" w:firstLine="588" w:firstLineChars="245"/>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、乙方同意免除项目杂费。</w:t>
      </w:r>
    </w:p>
    <w:p>
      <w:pPr>
        <w:snapToGrid w:val="0"/>
        <w:spacing w:line="360" w:lineRule="auto"/>
        <w:ind w:firstLine="420"/>
        <w:rPr>
          <w:rFonts w:ascii="宋体" w:hAnsi="宋体"/>
          <w:b/>
          <w:color w:val="auto"/>
          <w:sz w:val="24"/>
          <w:highlight w:val="none"/>
        </w:rPr>
      </w:pPr>
      <w:bookmarkStart w:id="259" w:name="_Hlk66364726"/>
      <w:r>
        <w:rPr>
          <w:rFonts w:ascii="宋体" w:hAnsi="宋体"/>
          <w:b/>
          <w:color w:val="auto"/>
          <w:sz w:val="24"/>
          <w:highlight w:val="none"/>
        </w:rPr>
        <w:t>第</w:t>
      </w:r>
      <w:r>
        <w:rPr>
          <w:rFonts w:hint="eastAsia" w:ascii="宋体" w:hAnsi="宋体"/>
          <w:b/>
          <w:color w:val="auto"/>
          <w:sz w:val="24"/>
          <w:highlight w:val="none"/>
        </w:rPr>
        <w:t>三</w:t>
      </w:r>
      <w:r>
        <w:rPr>
          <w:rFonts w:ascii="宋体" w:hAnsi="宋体"/>
          <w:b/>
          <w:color w:val="auto"/>
          <w:sz w:val="24"/>
          <w:highlight w:val="none"/>
        </w:rPr>
        <w:t>条  履约保证金</w:t>
      </w:r>
      <w:r>
        <w:rPr>
          <w:rFonts w:hint="eastAsia" w:ascii="宋体" w:hAnsi="宋体"/>
          <w:b/>
          <w:bCs/>
          <w:color w:val="auto"/>
          <w:sz w:val="24"/>
          <w:highlight w:val="none"/>
        </w:rPr>
        <w:t>（此项目不适用）</w:t>
      </w:r>
    </w:p>
    <w:bookmarkEnd w:id="259"/>
    <w:p>
      <w:pPr>
        <w:snapToGrid w:val="0"/>
        <w:spacing w:line="360" w:lineRule="auto"/>
        <w:ind w:firstLine="420"/>
        <w:rPr>
          <w:rFonts w:ascii="宋体" w:hAnsi="宋体"/>
          <w:b/>
          <w:color w:val="auto"/>
          <w:sz w:val="24"/>
          <w:highlight w:val="none"/>
        </w:rPr>
      </w:pPr>
      <w:r>
        <w:rPr>
          <w:rFonts w:ascii="宋体" w:hAnsi="宋体"/>
          <w:b/>
          <w:color w:val="auto"/>
          <w:sz w:val="24"/>
          <w:highlight w:val="none"/>
        </w:rPr>
        <w:t>第四条  合同的变更、终止与转让</w:t>
      </w:r>
    </w:p>
    <w:p>
      <w:pPr>
        <w:snapToGrid w:val="0"/>
        <w:spacing w:line="360" w:lineRule="auto"/>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按照</w:t>
      </w:r>
      <w:r>
        <w:rPr>
          <w:rFonts w:ascii="宋体" w:hAnsi="宋体"/>
          <w:color w:val="auto"/>
          <w:sz w:val="24"/>
          <w:highlight w:val="none"/>
        </w:rPr>
        <w:t>《中华人民共和国政府采购法》第50条规定，本合同一经签订，甲乙双方不得擅自变更、中止或终止。</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2、乙方不得擅自转让其应履行的合同义务。</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3、双方除非事先得到对方的书面同意或本合同另有约定，任何一方不得将本合同项下的任何权利、义务、责任转让给任何第三方。</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4、乙方逾期未完成约定义务超过</w:t>
      </w:r>
      <w:r>
        <w:rPr>
          <w:rFonts w:hint="eastAsia" w:ascii="宋体" w:hAnsi="宋体"/>
          <w:color w:val="auto"/>
          <w:sz w:val="24"/>
          <w:highlight w:val="none"/>
          <w:u w:val="single"/>
        </w:rPr>
        <w:t>7个工作日</w:t>
      </w:r>
      <w:r>
        <w:rPr>
          <w:rFonts w:hint="eastAsia" w:ascii="宋体" w:hAnsi="宋体"/>
          <w:color w:val="auto"/>
          <w:sz w:val="24"/>
          <w:highlight w:val="none"/>
        </w:rPr>
        <w:t>，甲方有权单方解除本合同。</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5、乙方履行本合同约定义务时，未达到甲方要求，修改或整改超过</w:t>
      </w:r>
      <w:r>
        <w:rPr>
          <w:rFonts w:hint="eastAsia" w:ascii="宋体" w:hAnsi="宋体"/>
          <w:color w:val="auto"/>
          <w:sz w:val="24"/>
          <w:highlight w:val="none"/>
          <w:u w:val="single"/>
        </w:rPr>
        <w:t>3次</w:t>
      </w:r>
      <w:r>
        <w:rPr>
          <w:rFonts w:hint="eastAsia" w:ascii="宋体" w:hAnsi="宋体"/>
          <w:color w:val="auto"/>
          <w:sz w:val="24"/>
          <w:highlight w:val="none"/>
        </w:rPr>
        <w:t>，仍然无法达到甲方要求，甲方有权单方解除本合同。</w:t>
      </w:r>
    </w:p>
    <w:p>
      <w:pPr>
        <w:snapToGrid w:val="0"/>
        <w:spacing w:line="360" w:lineRule="auto"/>
        <w:ind w:firstLine="420"/>
        <w:rPr>
          <w:rFonts w:ascii="宋体" w:hAnsi="宋体"/>
          <w:b/>
          <w:color w:val="auto"/>
          <w:sz w:val="24"/>
          <w:highlight w:val="none"/>
        </w:rPr>
      </w:pPr>
      <w:r>
        <w:rPr>
          <w:rFonts w:hint="eastAsia" w:ascii="宋体" w:hAnsi="宋体"/>
          <w:b/>
          <w:color w:val="auto"/>
          <w:sz w:val="24"/>
          <w:highlight w:val="none"/>
        </w:rPr>
        <w:t xml:space="preserve">第五条 </w:t>
      </w:r>
      <w:r>
        <w:rPr>
          <w:rFonts w:ascii="宋体" w:hAnsi="宋体"/>
          <w:b/>
          <w:color w:val="auto"/>
          <w:sz w:val="24"/>
          <w:highlight w:val="none"/>
        </w:rPr>
        <w:t xml:space="preserve"> </w:t>
      </w:r>
      <w:r>
        <w:rPr>
          <w:rFonts w:hint="eastAsia" w:ascii="宋体" w:hAnsi="宋体"/>
          <w:b/>
          <w:color w:val="auto"/>
          <w:sz w:val="24"/>
          <w:highlight w:val="none"/>
        </w:rPr>
        <w:t>违约责任</w:t>
      </w:r>
    </w:p>
    <w:p>
      <w:pPr>
        <w:snapToGrid w:val="0"/>
        <w:spacing w:line="360" w:lineRule="auto"/>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 </w:t>
      </w:r>
    </w:p>
    <w:p>
      <w:pPr>
        <w:snapToGrid w:val="0"/>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p>
    <w:p>
      <w:pPr>
        <w:snapToGrid w:val="0"/>
        <w:spacing w:line="360" w:lineRule="auto"/>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、乙方逾期完成服务的，乙方应按本合同约定服务费总金额每日</w:t>
      </w:r>
      <w:r>
        <w:rPr>
          <w:rFonts w:ascii="宋体" w:hAnsi="宋体"/>
          <w:color w:val="auto"/>
          <w:sz w:val="24"/>
          <w:highlight w:val="none"/>
          <w:u w:val="single"/>
        </w:rPr>
        <w:t>1</w:t>
      </w:r>
      <w:r>
        <w:rPr>
          <w:rFonts w:hint="eastAsia" w:ascii="宋体" w:hAnsi="宋体"/>
          <w:color w:val="auto"/>
          <w:sz w:val="24"/>
          <w:highlight w:val="none"/>
          <w:u w:val="single"/>
        </w:rPr>
        <w:t>‰</w:t>
      </w:r>
      <w:r>
        <w:rPr>
          <w:rFonts w:hint="eastAsia" w:ascii="宋体" w:hAnsi="宋体"/>
          <w:color w:val="auto"/>
          <w:sz w:val="24"/>
          <w:highlight w:val="none"/>
        </w:rPr>
        <w:t>比</w:t>
      </w:r>
      <w:r>
        <w:rPr>
          <w:rFonts w:ascii="宋体" w:hAnsi="宋体"/>
          <w:color w:val="auto"/>
          <w:sz w:val="24"/>
          <w:highlight w:val="none"/>
        </w:rPr>
        <w:t>例</w:t>
      </w:r>
      <w:r>
        <w:rPr>
          <w:rFonts w:hint="eastAsia" w:ascii="宋体" w:hAnsi="宋体"/>
          <w:color w:val="auto"/>
          <w:sz w:val="24"/>
          <w:highlight w:val="none"/>
        </w:rPr>
        <w:t>向甲方支付违约金，由甲方从待付款中扣除；逾期超过约定日期</w:t>
      </w:r>
      <w:r>
        <w:rPr>
          <w:rFonts w:hint="eastAsia" w:ascii="宋体" w:hAnsi="宋体"/>
          <w:color w:val="auto"/>
          <w:sz w:val="24"/>
          <w:highlight w:val="none"/>
          <w:u w:val="single"/>
        </w:rPr>
        <w:t>7个工作日</w:t>
      </w:r>
      <w:r>
        <w:rPr>
          <w:rFonts w:hint="eastAsia" w:ascii="宋体" w:hAnsi="宋体"/>
          <w:color w:val="auto"/>
          <w:sz w:val="24"/>
          <w:highlight w:val="none"/>
        </w:rPr>
        <w:t>不能完成服务的，甲方可解除本合同。</w:t>
      </w:r>
    </w:p>
    <w:p>
      <w:pPr>
        <w:snapToGrid w:val="0"/>
        <w:spacing w:line="360" w:lineRule="auto"/>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、乙方因逾期完成服务或因其他违约行为导致甲方解除合同的，乙方应向甲方支付本合同约定服务费总金额</w:t>
      </w:r>
      <w:r>
        <w:rPr>
          <w:rFonts w:hint="eastAsia" w:ascii="宋体" w:hAnsi="宋体"/>
          <w:color w:val="auto"/>
          <w:sz w:val="24"/>
          <w:highlight w:val="none"/>
          <w:u w:val="single"/>
        </w:rPr>
        <w:t>10%</w:t>
      </w:r>
      <w:r>
        <w:rPr>
          <w:rFonts w:hint="eastAsia" w:ascii="宋体" w:hAnsi="宋体"/>
          <w:color w:val="auto"/>
          <w:sz w:val="24"/>
          <w:highlight w:val="none"/>
        </w:rPr>
        <w:t>比</w:t>
      </w:r>
      <w:r>
        <w:rPr>
          <w:rFonts w:ascii="宋体" w:hAnsi="宋体"/>
          <w:color w:val="auto"/>
          <w:sz w:val="24"/>
          <w:highlight w:val="none"/>
        </w:rPr>
        <w:t>例</w:t>
      </w:r>
      <w:r>
        <w:rPr>
          <w:rFonts w:hint="eastAsia" w:ascii="宋体" w:hAnsi="宋体"/>
          <w:color w:val="auto"/>
          <w:sz w:val="24"/>
          <w:highlight w:val="none"/>
        </w:rPr>
        <w:t>的违约金，如造成甲方损失超过违约金的，超出部分由乙方继续承担赔偿责任。</w:t>
      </w:r>
    </w:p>
    <w:p>
      <w:pPr>
        <w:snapToGrid w:val="0"/>
        <w:spacing w:line="360" w:lineRule="auto"/>
        <w:ind w:firstLine="420"/>
        <w:rPr>
          <w:rFonts w:ascii="宋体" w:hAnsi="宋体"/>
          <w:b/>
          <w:color w:val="auto"/>
          <w:sz w:val="24"/>
          <w:highlight w:val="none"/>
        </w:rPr>
      </w:pPr>
      <w:r>
        <w:rPr>
          <w:rFonts w:hint="eastAsia" w:ascii="宋体" w:hAnsi="宋体"/>
          <w:b/>
          <w:color w:val="auto"/>
          <w:sz w:val="24"/>
          <w:highlight w:val="none"/>
        </w:rPr>
        <w:t xml:space="preserve">第六条 </w:t>
      </w:r>
      <w:r>
        <w:rPr>
          <w:rFonts w:ascii="宋体" w:hAnsi="宋体"/>
          <w:b/>
          <w:color w:val="auto"/>
          <w:sz w:val="24"/>
          <w:highlight w:val="none"/>
        </w:rPr>
        <w:t xml:space="preserve"> </w:t>
      </w:r>
      <w:r>
        <w:rPr>
          <w:rFonts w:hint="eastAsia" w:ascii="宋体" w:hAnsi="宋体"/>
          <w:b/>
          <w:color w:val="auto"/>
          <w:sz w:val="24"/>
          <w:highlight w:val="none"/>
        </w:rPr>
        <w:t>争议处理</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甲乙双方如对本合同约定条款的理解存在歧义或在本合同履行过程中发生争议，双方应友好协商解决，协商不能解决的，任何一方均可向甲方所在地人民法院提起诉讼。</w:t>
      </w:r>
    </w:p>
    <w:p>
      <w:pPr>
        <w:snapToGrid w:val="0"/>
        <w:spacing w:line="360" w:lineRule="auto"/>
        <w:ind w:firstLine="420"/>
        <w:rPr>
          <w:rFonts w:ascii="宋体" w:hAnsi="宋体"/>
          <w:b/>
          <w:color w:val="auto"/>
          <w:sz w:val="24"/>
          <w:highlight w:val="none"/>
        </w:rPr>
      </w:pPr>
      <w:r>
        <w:rPr>
          <w:rFonts w:ascii="宋体" w:hAnsi="宋体"/>
          <w:b/>
          <w:color w:val="auto"/>
          <w:sz w:val="24"/>
          <w:highlight w:val="none"/>
        </w:rPr>
        <w:t>第</w:t>
      </w:r>
      <w:r>
        <w:rPr>
          <w:rFonts w:hint="eastAsia" w:ascii="宋体" w:hAnsi="宋体"/>
          <w:b/>
          <w:color w:val="auto"/>
          <w:sz w:val="24"/>
          <w:highlight w:val="none"/>
        </w:rPr>
        <w:t>七</w:t>
      </w:r>
      <w:r>
        <w:rPr>
          <w:rFonts w:ascii="宋体" w:hAnsi="宋体"/>
          <w:b/>
          <w:color w:val="auto"/>
          <w:sz w:val="24"/>
          <w:highlight w:val="none"/>
        </w:rPr>
        <w:t>条</w:t>
      </w:r>
      <w:r>
        <w:rPr>
          <w:rFonts w:hint="eastAsia" w:ascii="宋体" w:hAnsi="宋体"/>
          <w:b/>
          <w:color w:val="auto"/>
          <w:sz w:val="24"/>
          <w:highlight w:val="none"/>
        </w:rPr>
        <w:t xml:space="preserve"> </w:t>
      </w:r>
      <w:r>
        <w:rPr>
          <w:rFonts w:ascii="宋体" w:hAnsi="宋体"/>
          <w:b/>
          <w:color w:val="auto"/>
          <w:sz w:val="24"/>
          <w:highlight w:val="none"/>
        </w:rPr>
        <w:t xml:space="preserve"> 不可抗力</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不可抗力”是指所有超出本合同双方控制范围的事件，该事件应不可预见，或虽然可以预见，但通过合理努力无法阻止或避免其发生，且这类事件发生于本合同签字之后，并且阻止任何一方全部或部分履行本合同。</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由于不可抗力事件，致使任何一方不能履行其在本合同项下的义务，该方不承担由此给另一方造成的损失</w:t>
      </w:r>
      <w:r>
        <w:rPr>
          <w:rFonts w:hint="eastAsia" w:ascii="宋体" w:hAnsi="宋体"/>
          <w:color w:val="auto"/>
          <w:sz w:val="24"/>
          <w:highlight w:val="none"/>
        </w:rPr>
        <w:t>；</w:t>
      </w:r>
      <w:r>
        <w:rPr>
          <w:rFonts w:ascii="宋体" w:hAnsi="宋体"/>
          <w:color w:val="auto"/>
          <w:sz w:val="24"/>
          <w:highlight w:val="none"/>
        </w:rPr>
        <w:t>该方应及时通知另一方其不能履行或延迟履行合同义务的原因，并应尽快向另一方提供有关发生不可抗力的证明文件，按事故对本合同的影响程度，双方协商是否终止本合同，或部分免除本合同的义务。</w:t>
      </w:r>
    </w:p>
    <w:p>
      <w:pPr>
        <w:snapToGrid w:val="0"/>
        <w:spacing w:line="360" w:lineRule="auto"/>
        <w:ind w:firstLine="420"/>
        <w:rPr>
          <w:rFonts w:ascii="宋体" w:hAnsi="宋体"/>
          <w:color w:val="auto"/>
          <w:sz w:val="24"/>
          <w:highlight w:val="none"/>
        </w:rPr>
      </w:pPr>
      <w:r>
        <w:rPr>
          <w:rFonts w:hint="eastAsia" w:ascii="宋体" w:hAnsi="宋体"/>
          <w:b/>
          <w:color w:val="auto"/>
          <w:sz w:val="24"/>
          <w:highlight w:val="none"/>
        </w:rPr>
        <w:t xml:space="preserve">第八条 </w:t>
      </w:r>
      <w:r>
        <w:rPr>
          <w:rFonts w:ascii="宋体" w:hAnsi="宋体"/>
          <w:b/>
          <w:color w:val="auto"/>
          <w:sz w:val="24"/>
          <w:highlight w:val="none"/>
        </w:rPr>
        <w:t xml:space="preserve"> </w:t>
      </w:r>
      <w:r>
        <w:rPr>
          <w:rFonts w:hint="eastAsia" w:ascii="宋体" w:hAnsi="宋体"/>
          <w:b/>
          <w:color w:val="auto"/>
          <w:sz w:val="24"/>
          <w:highlight w:val="none"/>
        </w:rPr>
        <w:t>其他</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、合同附件A和合同附件B是本合同不可分割的组成部分，与本合同具有同等法律效力。</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、本合同未尽事宜，由甲乙双方负责人协商后达成书面补充协议，补充协议具备与本合同同等法律效力。</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、对本合同内容的任何修改和变更需要用书面形式，并经双方签字盖章后生效。</w:t>
      </w:r>
    </w:p>
    <w:p>
      <w:pPr>
        <w:snapToGrid w:val="0"/>
        <w:spacing w:line="360" w:lineRule="auto"/>
        <w:ind w:firstLine="420"/>
        <w:rPr>
          <w:rFonts w:ascii="宋体" w:hAnsi="宋体"/>
          <w:b/>
          <w:color w:val="auto"/>
          <w:sz w:val="24"/>
          <w:highlight w:val="none"/>
        </w:rPr>
      </w:pPr>
      <w:r>
        <w:rPr>
          <w:rFonts w:ascii="宋体" w:hAnsi="宋体"/>
          <w:b/>
          <w:color w:val="auto"/>
          <w:sz w:val="24"/>
          <w:highlight w:val="none"/>
        </w:rPr>
        <w:t>第</w:t>
      </w:r>
      <w:r>
        <w:rPr>
          <w:rFonts w:hint="eastAsia" w:ascii="宋体" w:hAnsi="宋体"/>
          <w:b/>
          <w:color w:val="auto"/>
          <w:sz w:val="24"/>
          <w:highlight w:val="none"/>
        </w:rPr>
        <w:t>九</w:t>
      </w:r>
      <w:r>
        <w:rPr>
          <w:rFonts w:ascii="宋体" w:hAnsi="宋体"/>
          <w:b/>
          <w:color w:val="auto"/>
          <w:sz w:val="24"/>
          <w:highlight w:val="none"/>
        </w:rPr>
        <w:t>条  签订本合同依据</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甲方发出的采购</w:t>
      </w:r>
      <w:r>
        <w:rPr>
          <w:rFonts w:ascii="宋体" w:hAnsi="宋体"/>
          <w:color w:val="auto"/>
          <w:sz w:val="24"/>
          <w:highlight w:val="none"/>
        </w:rPr>
        <w:t>文件</w:t>
      </w:r>
      <w:r>
        <w:rPr>
          <w:rFonts w:hint="eastAsia" w:ascii="宋体" w:hAnsi="宋体"/>
          <w:color w:val="auto"/>
          <w:sz w:val="24"/>
          <w:highlight w:val="none"/>
        </w:rPr>
        <w:t>、中标（成交）通知书；</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2、乙方提供的投标</w:t>
      </w:r>
      <w:r>
        <w:rPr>
          <w:rFonts w:hint="eastAsia" w:ascii="宋体" w:hAnsi="宋体"/>
          <w:color w:val="auto"/>
          <w:sz w:val="24"/>
          <w:highlight w:val="none"/>
        </w:rPr>
        <w:t>（响应</w:t>
      </w:r>
      <w:r>
        <w:rPr>
          <w:rFonts w:ascii="宋体" w:hAnsi="宋体"/>
          <w:color w:val="auto"/>
          <w:sz w:val="24"/>
          <w:highlight w:val="none"/>
        </w:rPr>
        <w:t>）文件</w:t>
      </w:r>
      <w:r>
        <w:rPr>
          <w:rFonts w:hint="eastAsia" w:ascii="宋体" w:hAnsi="宋体"/>
          <w:color w:val="auto"/>
          <w:sz w:val="24"/>
          <w:highlight w:val="none"/>
        </w:rPr>
        <w:t>；</w:t>
      </w:r>
    </w:p>
    <w:p>
      <w:pPr>
        <w:snapToGri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3、</w:t>
      </w:r>
      <w:r>
        <w:rPr>
          <w:rFonts w:ascii="宋体" w:hAnsi="宋体"/>
          <w:color w:val="auto"/>
          <w:sz w:val="24"/>
          <w:highlight w:val="none"/>
        </w:rPr>
        <w:t>投标承诺书</w:t>
      </w:r>
      <w:r>
        <w:rPr>
          <w:rFonts w:hint="eastAsia" w:ascii="宋体" w:hAnsi="宋体"/>
          <w:color w:val="auto"/>
          <w:sz w:val="24"/>
          <w:highlight w:val="none"/>
        </w:rPr>
        <w:t>。</w:t>
      </w:r>
    </w:p>
    <w:p>
      <w:pPr>
        <w:snapToGrid w:val="0"/>
        <w:spacing w:line="360" w:lineRule="auto"/>
        <w:ind w:firstLine="420"/>
        <w:rPr>
          <w:rFonts w:ascii="宋体" w:hAnsi="宋体"/>
          <w:color w:val="auto"/>
          <w:sz w:val="24"/>
          <w:highlight w:val="none"/>
        </w:rPr>
      </w:pPr>
      <w:r>
        <w:rPr>
          <w:rFonts w:ascii="宋体" w:hAnsi="宋体"/>
          <w:b/>
          <w:color w:val="auto"/>
          <w:sz w:val="24"/>
          <w:highlight w:val="none"/>
        </w:rPr>
        <w:t>第</w:t>
      </w:r>
      <w:r>
        <w:rPr>
          <w:rFonts w:hint="eastAsia" w:ascii="宋体" w:hAnsi="宋体"/>
          <w:b/>
          <w:color w:val="auto"/>
          <w:sz w:val="24"/>
          <w:highlight w:val="none"/>
        </w:rPr>
        <w:t>十</w:t>
      </w:r>
      <w:r>
        <w:rPr>
          <w:rFonts w:ascii="宋体" w:hAnsi="宋体"/>
          <w:b/>
          <w:color w:val="auto"/>
          <w:sz w:val="24"/>
          <w:highlight w:val="none"/>
        </w:rPr>
        <w:t>条</w:t>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ascii="宋体" w:hAnsi="宋体"/>
          <w:color w:val="auto"/>
          <w:sz w:val="24"/>
          <w:highlight w:val="none"/>
        </w:rPr>
        <w:t>本合同一式</w:t>
      </w:r>
      <w:r>
        <w:rPr>
          <w:rFonts w:hint="eastAsia" w:ascii="宋体" w:hAnsi="宋体"/>
          <w:color w:val="auto"/>
          <w:sz w:val="24"/>
          <w:highlight w:val="none"/>
          <w:u w:val="single"/>
        </w:rPr>
        <w:t xml:space="preserve"> 陆 </w:t>
      </w:r>
      <w:r>
        <w:rPr>
          <w:rFonts w:ascii="宋体" w:hAnsi="宋体"/>
          <w:color w:val="auto"/>
          <w:sz w:val="24"/>
          <w:highlight w:val="none"/>
        </w:rPr>
        <w:t>份，</w:t>
      </w:r>
      <w:r>
        <w:rPr>
          <w:rFonts w:hint="eastAsia" w:ascii="宋体" w:hAnsi="宋体"/>
          <w:color w:val="auto"/>
          <w:sz w:val="24"/>
          <w:highlight w:val="none"/>
        </w:rPr>
        <w:t>甲方</w:t>
      </w:r>
      <w:r>
        <w:rPr>
          <w:rFonts w:hint="eastAsia" w:ascii="宋体" w:hAnsi="宋体"/>
          <w:color w:val="auto"/>
          <w:sz w:val="24"/>
          <w:highlight w:val="none"/>
          <w:u w:val="single"/>
        </w:rPr>
        <w:t>肆</w:t>
      </w:r>
      <w:r>
        <w:rPr>
          <w:rFonts w:hint="eastAsia" w:ascii="宋体" w:hAnsi="宋体"/>
          <w:color w:val="auto"/>
          <w:sz w:val="24"/>
          <w:highlight w:val="none"/>
        </w:rPr>
        <w:t>份，乙方</w:t>
      </w:r>
      <w:r>
        <w:rPr>
          <w:rFonts w:hint="eastAsia" w:ascii="宋体" w:hAnsi="宋体"/>
          <w:color w:val="auto"/>
          <w:sz w:val="24"/>
          <w:highlight w:val="none"/>
          <w:u w:val="single"/>
        </w:rPr>
        <w:t xml:space="preserve"> 贰 </w:t>
      </w:r>
      <w:r>
        <w:rPr>
          <w:rFonts w:hint="eastAsia" w:ascii="宋体" w:hAnsi="宋体"/>
          <w:color w:val="auto"/>
          <w:sz w:val="24"/>
          <w:highlight w:val="none"/>
        </w:rPr>
        <w:t>份。（如有需要可另增加）</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本合同</w:t>
      </w:r>
      <w:r>
        <w:rPr>
          <w:rFonts w:hint="eastAsia" w:ascii="宋体" w:hAnsi="宋体"/>
          <w:color w:val="auto"/>
          <w:sz w:val="24"/>
          <w:highlight w:val="none"/>
        </w:rPr>
        <w:t>自</w:t>
      </w:r>
      <w:r>
        <w:rPr>
          <w:rFonts w:ascii="宋体" w:hAnsi="宋体"/>
          <w:color w:val="auto"/>
          <w:sz w:val="24"/>
          <w:highlight w:val="none"/>
        </w:rPr>
        <w:t>甲乙双方签字盖章后生效。</w:t>
      </w:r>
    </w:p>
    <w:tbl>
      <w:tblPr>
        <w:tblStyle w:val="26"/>
        <w:tblW w:w="9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6"/>
        <w:gridCol w:w="4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6"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甲方（</w:t>
            </w:r>
            <w:r>
              <w:rPr>
                <w:rFonts w:hint="eastAsia" w:ascii="宋体" w:hAnsi="宋体"/>
                <w:color w:val="auto"/>
                <w:sz w:val="24"/>
                <w:highlight w:val="none"/>
              </w:rPr>
              <w:t>公</w:t>
            </w:r>
            <w:r>
              <w:rPr>
                <w:rFonts w:ascii="宋体" w:hAnsi="宋体"/>
                <w:color w:val="auto"/>
                <w:sz w:val="24"/>
                <w:highlight w:val="none"/>
              </w:rPr>
              <w:t>章）</w:t>
            </w:r>
          </w:p>
          <w:p>
            <w:pPr>
              <w:spacing w:line="360" w:lineRule="auto"/>
              <w:ind w:firstLine="560"/>
              <w:rPr>
                <w:rFonts w:ascii="宋体" w:hAnsi="宋体"/>
                <w:color w:val="auto"/>
                <w:sz w:val="24"/>
                <w:highlight w:val="none"/>
              </w:rPr>
            </w:pPr>
          </w:p>
          <w:p>
            <w:pPr>
              <w:spacing w:line="360" w:lineRule="auto"/>
              <w:ind w:firstLine="600" w:firstLineChars="250"/>
              <w:rPr>
                <w:rFonts w:ascii="宋体" w:hAnsi="宋体"/>
                <w:color w:val="auto"/>
                <w:sz w:val="24"/>
                <w:highlight w:val="none"/>
              </w:rPr>
            </w:pPr>
            <w:r>
              <w:rPr>
                <w:rFonts w:ascii="宋体" w:hAnsi="宋体"/>
                <w:color w:val="auto"/>
                <w:sz w:val="24"/>
                <w:highlight w:val="none"/>
              </w:rPr>
              <w:t>年</w:t>
            </w:r>
            <w:r>
              <w:rPr>
                <w:rFonts w:hint="eastAsia" w:ascii="宋体" w:hAnsi="宋体"/>
                <w:color w:val="auto"/>
                <w:sz w:val="24"/>
                <w:highlight w:val="none"/>
              </w:rPr>
              <w:t xml:space="preserve"> </w:t>
            </w:r>
            <w:r>
              <w:rPr>
                <w:rFonts w:ascii="宋体" w:hAnsi="宋体"/>
                <w:color w:val="auto"/>
                <w:sz w:val="24"/>
                <w:highlight w:val="none"/>
              </w:rPr>
              <w:t>月</w:t>
            </w:r>
            <w:r>
              <w:rPr>
                <w:rFonts w:hint="eastAsia" w:ascii="宋体" w:hAnsi="宋体"/>
                <w:color w:val="auto"/>
                <w:sz w:val="24"/>
                <w:highlight w:val="none"/>
              </w:rPr>
              <w:t xml:space="preserve"> </w:t>
            </w:r>
            <w:r>
              <w:rPr>
                <w:rFonts w:ascii="宋体" w:hAnsi="宋体"/>
                <w:color w:val="auto"/>
                <w:sz w:val="24"/>
                <w:highlight w:val="none"/>
              </w:rPr>
              <w:t>日</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乙方（</w:t>
            </w:r>
            <w:r>
              <w:rPr>
                <w:rFonts w:hint="eastAsia" w:ascii="宋体" w:hAnsi="宋体"/>
                <w:color w:val="auto"/>
                <w:sz w:val="24"/>
                <w:highlight w:val="none"/>
              </w:rPr>
              <w:t>公</w:t>
            </w:r>
            <w:r>
              <w:rPr>
                <w:rFonts w:ascii="宋体" w:hAnsi="宋体"/>
                <w:color w:val="auto"/>
                <w:sz w:val="24"/>
                <w:highlight w:val="none"/>
              </w:rPr>
              <w:t>章）</w:t>
            </w:r>
          </w:p>
          <w:p>
            <w:pPr>
              <w:spacing w:line="360" w:lineRule="auto"/>
              <w:ind w:firstLine="560"/>
              <w:rPr>
                <w:rFonts w:ascii="宋体" w:hAnsi="宋体"/>
                <w:color w:val="auto"/>
                <w:sz w:val="24"/>
                <w:highlight w:val="none"/>
              </w:rPr>
            </w:pPr>
          </w:p>
          <w:p>
            <w:pPr>
              <w:spacing w:line="360" w:lineRule="auto"/>
              <w:ind w:firstLine="600" w:firstLineChars="250"/>
              <w:rPr>
                <w:rFonts w:ascii="宋体" w:hAnsi="宋体"/>
                <w:color w:val="auto"/>
                <w:sz w:val="24"/>
                <w:highlight w:val="none"/>
              </w:rPr>
            </w:pPr>
            <w:r>
              <w:rPr>
                <w:rFonts w:ascii="宋体" w:hAnsi="宋体"/>
                <w:color w:val="auto"/>
                <w:sz w:val="24"/>
                <w:highlight w:val="none"/>
              </w:rPr>
              <w:t>年</w:t>
            </w:r>
            <w:r>
              <w:rPr>
                <w:rFonts w:hint="eastAsia" w:ascii="宋体" w:hAnsi="宋体"/>
                <w:color w:val="auto"/>
                <w:sz w:val="24"/>
                <w:highlight w:val="none"/>
              </w:rPr>
              <w:t xml:space="preserve"> </w:t>
            </w:r>
            <w:r>
              <w:rPr>
                <w:rFonts w:ascii="宋体" w:hAnsi="宋体"/>
                <w:color w:val="auto"/>
                <w:sz w:val="24"/>
                <w:highlight w:val="none"/>
              </w:rPr>
              <w:t>月</w:t>
            </w:r>
            <w:r>
              <w:rPr>
                <w:rFonts w:hint="eastAsia" w:ascii="宋体" w:hAnsi="宋体"/>
                <w:color w:val="auto"/>
                <w:sz w:val="24"/>
                <w:highlight w:val="none"/>
              </w:rPr>
              <w:t xml:space="preserve"> </w:t>
            </w:r>
            <w:r>
              <w:rPr>
                <w:rFonts w:ascii="宋体" w:hAnsi="宋体"/>
                <w:color w:val="auto"/>
                <w:sz w:val="24"/>
                <w:highlight w:val="no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atLeast"/>
        </w:trPr>
        <w:tc>
          <w:tcPr>
            <w:tcW w:w="4516" w:type="dxa"/>
            <w:vAlign w:val="center"/>
          </w:tcPr>
          <w:p>
            <w:pPr>
              <w:spacing w:line="360" w:lineRule="auto"/>
              <w:rPr>
                <w:rFonts w:ascii="宋体" w:hAnsi="宋体"/>
                <w:color w:val="auto"/>
                <w:sz w:val="24"/>
                <w:highlight w:val="none"/>
              </w:rPr>
            </w:pPr>
            <w:r>
              <w:rPr>
                <w:rFonts w:hint="eastAsia" w:ascii="宋体" w:hAnsi="宋体"/>
                <w:color w:val="auto"/>
                <w:sz w:val="24"/>
                <w:highlight w:val="none"/>
              </w:rPr>
              <w:t>单位</w:t>
            </w:r>
            <w:r>
              <w:rPr>
                <w:rFonts w:ascii="宋体" w:hAnsi="宋体"/>
                <w:color w:val="auto"/>
                <w:sz w:val="24"/>
                <w:highlight w:val="none"/>
              </w:rPr>
              <w:t>地址：</w:t>
            </w:r>
            <w:r>
              <w:rPr>
                <w:rFonts w:hint="eastAsia" w:ascii="宋体" w:hAnsi="宋体"/>
                <w:color w:val="auto"/>
                <w:sz w:val="24"/>
                <w:highlight w:val="none"/>
                <w:u w:val="single"/>
              </w:rPr>
              <w:t>南京市玄武区卫岗1号</w:t>
            </w:r>
          </w:p>
        </w:tc>
        <w:tc>
          <w:tcPr>
            <w:tcW w:w="4517" w:type="dxa"/>
            <w:vAlign w:val="center"/>
          </w:tcPr>
          <w:p>
            <w:pPr>
              <w:spacing w:line="360" w:lineRule="auto"/>
              <w:rPr>
                <w:rFonts w:ascii="宋体" w:hAnsi="宋体"/>
                <w:color w:val="auto"/>
                <w:sz w:val="24"/>
                <w:highlight w:val="none"/>
              </w:rPr>
            </w:pPr>
            <w:r>
              <w:rPr>
                <w:rFonts w:hint="eastAsia" w:ascii="宋体" w:hAnsi="宋体"/>
                <w:color w:val="auto"/>
                <w:sz w:val="24"/>
                <w:highlight w:val="none"/>
              </w:rPr>
              <w:t>单位</w:t>
            </w:r>
            <w:r>
              <w:rPr>
                <w:rFonts w:ascii="宋体" w:hAnsi="宋体"/>
                <w:color w:val="auto"/>
                <w:sz w:val="24"/>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7" w:hRule="atLeast"/>
        </w:trPr>
        <w:tc>
          <w:tcPr>
            <w:tcW w:w="4516" w:type="dxa"/>
            <w:vAlign w:val="center"/>
          </w:tcPr>
          <w:p>
            <w:pPr>
              <w:spacing w:before="120" w:beforeLines="50" w:line="360" w:lineRule="auto"/>
              <w:rPr>
                <w:rFonts w:ascii="宋体" w:hAnsi="宋体"/>
                <w:color w:val="auto"/>
                <w:sz w:val="24"/>
                <w:highlight w:val="none"/>
              </w:rPr>
            </w:pPr>
            <w:r>
              <w:rPr>
                <w:rFonts w:ascii="宋体" w:hAnsi="宋体"/>
                <w:color w:val="auto"/>
                <w:sz w:val="24"/>
                <w:highlight w:val="none"/>
              </w:rPr>
              <w:t>法定代表人</w:t>
            </w:r>
            <w:r>
              <w:rPr>
                <w:rFonts w:hint="eastAsia" w:ascii="宋体" w:hAnsi="宋体"/>
                <w:color w:val="auto"/>
                <w:sz w:val="24"/>
                <w:highlight w:val="none"/>
              </w:rPr>
              <w:t>（</w:t>
            </w:r>
            <w:r>
              <w:rPr>
                <w:rFonts w:ascii="宋体" w:hAnsi="宋体"/>
                <w:color w:val="auto"/>
                <w:sz w:val="24"/>
                <w:highlight w:val="none"/>
              </w:rPr>
              <w:t>或委托代理人</w:t>
            </w:r>
            <w:r>
              <w:rPr>
                <w:rFonts w:hint="eastAsia" w:ascii="宋体" w:hAnsi="宋体"/>
                <w:color w:val="auto"/>
                <w:sz w:val="24"/>
                <w:highlight w:val="none"/>
              </w:rPr>
              <w:t>）</w:t>
            </w:r>
          </w:p>
          <w:p>
            <w:pPr>
              <w:spacing w:line="360" w:lineRule="auto"/>
              <w:rPr>
                <w:rFonts w:ascii="宋体" w:hAnsi="宋体"/>
                <w:color w:val="auto"/>
                <w:sz w:val="24"/>
                <w:highlight w:val="none"/>
              </w:rPr>
            </w:pPr>
            <w:r>
              <w:rPr>
                <w:rFonts w:hint="eastAsia" w:ascii="宋体" w:hAnsi="宋体"/>
                <w:color w:val="auto"/>
                <w:sz w:val="24"/>
                <w:highlight w:val="none"/>
              </w:rPr>
              <w:t>（签字）</w:t>
            </w:r>
            <w:r>
              <w:rPr>
                <w:rFonts w:ascii="宋体" w:hAnsi="宋体"/>
                <w:color w:val="auto"/>
                <w:sz w:val="24"/>
                <w:highlight w:val="none"/>
              </w:rPr>
              <w:t>：</w:t>
            </w:r>
          </w:p>
        </w:tc>
        <w:tc>
          <w:tcPr>
            <w:tcW w:w="4517" w:type="dxa"/>
            <w:vAlign w:val="center"/>
          </w:tcPr>
          <w:p>
            <w:pPr>
              <w:spacing w:before="120" w:beforeLines="50" w:line="360" w:lineRule="auto"/>
              <w:rPr>
                <w:rFonts w:ascii="宋体" w:hAnsi="宋体"/>
                <w:color w:val="auto"/>
                <w:sz w:val="24"/>
                <w:highlight w:val="none"/>
              </w:rPr>
            </w:pPr>
            <w:r>
              <w:rPr>
                <w:rFonts w:ascii="宋体" w:hAnsi="宋体"/>
                <w:color w:val="auto"/>
                <w:sz w:val="24"/>
                <w:highlight w:val="none"/>
              </w:rPr>
              <w:t>法定代表人</w:t>
            </w:r>
            <w:r>
              <w:rPr>
                <w:rFonts w:hint="eastAsia" w:ascii="宋体" w:hAnsi="宋体"/>
                <w:color w:val="auto"/>
                <w:sz w:val="24"/>
                <w:highlight w:val="none"/>
              </w:rPr>
              <w:t>（或委托代理人）</w:t>
            </w:r>
          </w:p>
          <w:p>
            <w:pPr>
              <w:spacing w:line="360" w:lineRule="auto"/>
              <w:rPr>
                <w:rFonts w:ascii="宋体" w:hAnsi="宋体"/>
                <w:color w:val="auto"/>
                <w:sz w:val="24"/>
                <w:highlight w:val="none"/>
              </w:rPr>
            </w:pPr>
            <w:r>
              <w:rPr>
                <w:rFonts w:hint="eastAsia" w:ascii="宋体" w:hAnsi="宋体"/>
                <w:color w:val="auto"/>
                <w:sz w:val="24"/>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电话：</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1"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电子邮箱：</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9"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开户银行：</w:t>
            </w:r>
          </w:p>
          <w:p>
            <w:pPr>
              <w:spacing w:line="360" w:lineRule="auto"/>
              <w:rPr>
                <w:rFonts w:ascii="宋体" w:hAnsi="宋体"/>
                <w:color w:val="auto"/>
                <w:sz w:val="24"/>
                <w:highlight w:val="none"/>
                <w:u w:val="single"/>
              </w:rPr>
            </w:pPr>
            <w:r>
              <w:rPr>
                <w:rFonts w:hint="eastAsia" w:ascii="宋体" w:hAnsi="宋体"/>
                <w:color w:val="auto"/>
                <w:sz w:val="24"/>
                <w:highlight w:val="none"/>
                <w:u w:val="single"/>
              </w:rPr>
              <w:t>南京市工商银行孝陵卫支行</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账号：</w:t>
            </w:r>
            <w:r>
              <w:rPr>
                <w:rFonts w:hint="eastAsia" w:ascii="宋体" w:hAnsi="宋体"/>
                <w:color w:val="auto"/>
                <w:sz w:val="24"/>
                <w:highlight w:val="none"/>
                <w:u w:val="single"/>
              </w:rPr>
              <w:t>4301010609001097041</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邮政编码：</w:t>
            </w:r>
            <w:r>
              <w:rPr>
                <w:rFonts w:hint="eastAsia" w:ascii="宋体" w:hAnsi="宋体"/>
                <w:color w:val="auto"/>
                <w:sz w:val="24"/>
                <w:highlight w:val="none"/>
              </w:rPr>
              <w:t>210095</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邮政编码：</w:t>
            </w:r>
          </w:p>
        </w:tc>
      </w:tr>
    </w:tbl>
    <w:p>
      <w:pPr>
        <w:widowControl/>
        <w:spacing w:line="360" w:lineRule="auto"/>
        <w:rPr>
          <w:rFonts w:ascii="宋体" w:hAnsi="宋体"/>
          <w:b/>
          <w:color w:val="auto"/>
          <w:sz w:val="24"/>
          <w:highlight w:val="none"/>
        </w:rPr>
      </w:pPr>
      <w:r>
        <w:rPr>
          <w:rFonts w:ascii="宋体" w:hAnsi="宋体"/>
          <w:b/>
          <w:color w:val="auto"/>
          <w:sz w:val="24"/>
          <w:highlight w:val="none"/>
        </w:rPr>
        <w:br w:type="page"/>
      </w: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pStyle w:val="2"/>
        <w:keepNext w:val="0"/>
        <w:keepLines w:val="0"/>
        <w:numPr>
          <w:ilvl w:val="0"/>
          <w:numId w:val="4"/>
        </w:numPr>
        <w:spacing w:before="0" w:after="0" w:line="360" w:lineRule="auto"/>
        <w:rPr>
          <w:rFonts w:hAnsi="宋体"/>
          <w:color w:val="auto"/>
          <w:sz w:val="44"/>
          <w:szCs w:val="44"/>
          <w:highlight w:val="none"/>
        </w:rPr>
      </w:pPr>
      <w:bookmarkStart w:id="260" w:name="_Toc534807403"/>
      <w:r>
        <w:rPr>
          <w:rFonts w:hint="eastAsia" w:hAnsi="宋体"/>
          <w:color w:val="auto"/>
          <w:sz w:val="44"/>
          <w:szCs w:val="44"/>
          <w:highlight w:val="none"/>
        </w:rPr>
        <w:t>采购需求</w:t>
      </w:r>
      <w:bookmarkEnd w:id="260"/>
    </w:p>
    <w:p>
      <w:pPr>
        <w:widowControl/>
        <w:jc w:val="left"/>
        <w:rPr>
          <w:rFonts w:ascii="宋体" w:hAnsi="宋体" w:cs="Arial"/>
          <w:b/>
          <w:color w:val="auto"/>
          <w:sz w:val="24"/>
          <w:highlight w:val="none"/>
        </w:rPr>
      </w:pPr>
      <w:r>
        <w:rPr>
          <w:rFonts w:ascii="宋体" w:hAnsi="宋体" w:cs="Arial"/>
          <w:b/>
          <w:color w:val="auto"/>
          <w:sz w:val="24"/>
          <w:highlight w:val="none"/>
        </w:rPr>
        <w:br w:type="page"/>
      </w:r>
    </w:p>
    <w:p>
      <w:pPr>
        <w:pStyle w:val="3"/>
        <w:pageBreakBefore/>
        <w:numPr>
          <w:ilvl w:val="0"/>
          <w:numId w:val="9"/>
        </w:numPr>
        <w:spacing w:before="0" w:line="360" w:lineRule="auto"/>
        <w:rPr>
          <w:rFonts w:ascii="宋体" w:hAnsi="宋体" w:eastAsia="宋体"/>
          <w:color w:val="auto"/>
          <w:sz w:val="32"/>
          <w:highlight w:val="none"/>
        </w:rPr>
      </w:pPr>
      <w:r>
        <w:rPr>
          <w:rFonts w:hint="eastAsia" w:ascii="宋体" w:hAnsi="宋体" w:eastAsia="宋体"/>
          <w:color w:val="auto"/>
          <w:sz w:val="32"/>
          <w:highlight w:val="none"/>
        </w:rPr>
        <w:t>货物需求一览表</w:t>
      </w:r>
    </w:p>
    <w:p>
      <w:pPr>
        <w:pStyle w:val="4"/>
        <w:spacing w:line="360" w:lineRule="auto"/>
        <w:rPr>
          <w:rFonts w:hAnsi="宋体"/>
          <w:color w:val="auto"/>
          <w:szCs w:val="24"/>
          <w:highlight w:val="none"/>
        </w:rPr>
      </w:pPr>
    </w:p>
    <w:tbl>
      <w:tblPr>
        <w:tblStyle w:val="26"/>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4"/>
        <w:gridCol w:w="1418"/>
        <w:gridCol w:w="4536"/>
        <w:gridCol w:w="850"/>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04" w:type="dxa"/>
            <w:tcMar>
              <w:top w:w="0" w:type="dxa"/>
              <w:left w:w="108" w:type="dxa"/>
              <w:bottom w:w="0" w:type="dxa"/>
              <w:right w:w="108" w:type="dxa"/>
            </w:tcMar>
            <w:vAlign w:val="center"/>
          </w:tcPr>
          <w:p>
            <w:pPr>
              <w:spacing w:line="360" w:lineRule="auto"/>
              <w:jc w:val="center"/>
              <w:rPr>
                <w:rFonts w:ascii="宋体" w:hAnsi="宋体"/>
                <w:b/>
                <w:bCs/>
                <w:color w:val="auto"/>
                <w:sz w:val="24"/>
                <w:highlight w:val="none"/>
              </w:rPr>
            </w:pPr>
            <w:bookmarkStart w:id="261" w:name="_Toc523143958"/>
            <w:r>
              <w:rPr>
                <w:rStyle w:val="29"/>
                <w:rFonts w:hint="eastAsia" w:ascii="宋体" w:hAnsi="宋体"/>
                <w:color w:val="auto"/>
                <w:sz w:val="24"/>
                <w:highlight w:val="none"/>
              </w:rPr>
              <w:t>序号</w:t>
            </w:r>
          </w:p>
        </w:tc>
        <w:tc>
          <w:tcPr>
            <w:tcW w:w="1418" w:type="dxa"/>
            <w:vAlign w:val="center"/>
          </w:tcPr>
          <w:p>
            <w:pPr>
              <w:spacing w:line="360" w:lineRule="auto"/>
              <w:jc w:val="center"/>
              <w:rPr>
                <w:rFonts w:ascii="宋体" w:hAnsi="宋体"/>
                <w:b/>
                <w:bCs/>
                <w:color w:val="auto"/>
                <w:sz w:val="24"/>
                <w:highlight w:val="none"/>
              </w:rPr>
            </w:pPr>
            <w:r>
              <w:rPr>
                <w:rFonts w:hint="eastAsia" w:ascii="宋体" w:hAnsi="宋体"/>
                <w:b/>
                <w:bCs/>
                <w:color w:val="auto"/>
                <w:sz w:val="24"/>
                <w:highlight w:val="none"/>
              </w:rPr>
              <w:t>标的物</w:t>
            </w:r>
            <w:r>
              <w:rPr>
                <w:rFonts w:ascii="宋体" w:hAnsi="宋体"/>
                <w:b/>
                <w:bCs/>
                <w:color w:val="auto"/>
                <w:sz w:val="24"/>
                <w:highlight w:val="none"/>
              </w:rPr>
              <w:t>名称</w:t>
            </w:r>
          </w:p>
        </w:tc>
        <w:tc>
          <w:tcPr>
            <w:tcW w:w="4536" w:type="dxa"/>
            <w:tcMar>
              <w:top w:w="0" w:type="dxa"/>
              <w:left w:w="108" w:type="dxa"/>
              <w:bottom w:w="0" w:type="dxa"/>
              <w:right w:w="108" w:type="dxa"/>
            </w:tcMar>
            <w:vAlign w:val="center"/>
          </w:tcPr>
          <w:p>
            <w:pPr>
              <w:spacing w:line="360" w:lineRule="auto"/>
              <w:jc w:val="center"/>
              <w:rPr>
                <w:rFonts w:ascii="宋体" w:hAnsi="宋体"/>
                <w:b/>
                <w:bCs/>
                <w:color w:val="auto"/>
                <w:sz w:val="24"/>
                <w:highlight w:val="none"/>
              </w:rPr>
            </w:pPr>
            <w:r>
              <w:rPr>
                <w:rFonts w:hint="eastAsia" w:ascii="宋体" w:hAnsi="宋体"/>
                <w:b/>
                <w:bCs/>
                <w:color w:val="auto"/>
                <w:sz w:val="24"/>
                <w:highlight w:val="none"/>
              </w:rPr>
              <w:t>简要规格描述或项目基本概况介绍</w:t>
            </w:r>
          </w:p>
          <w:p>
            <w:pPr>
              <w:spacing w:line="360" w:lineRule="auto"/>
              <w:jc w:val="center"/>
              <w:rPr>
                <w:rFonts w:ascii="宋体" w:hAnsi="宋体"/>
                <w:b/>
                <w:bCs/>
                <w:color w:val="auto"/>
                <w:sz w:val="24"/>
                <w:highlight w:val="none"/>
              </w:rPr>
            </w:pPr>
            <w:r>
              <w:rPr>
                <w:rFonts w:hint="eastAsia" w:ascii="宋体" w:hAnsi="宋体"/>
                <w:b/>
                <w:bCs/>
                <w:color w:val="auto"/>
                <w:sz w:val="24"/>
                <w:highlight w:val="none"/>
              </w:rPr>
              <w:t>（采购需求）</w:t>
            </w:r>
          </w:p>
        </w:tc>
        <w:tc>
          <w:tcPr>
            <w:tcW w:w="850" w:type="dxa"/>
            <w:vAlign w:val="center"/>
          </w:tcPr>
          <w:p>
            <w:pPr>
              <w:widowControl/>
              <w:spacing w:line="360" w:lineRule="auto"/>
              <w:rPr>
                <w:rFonts w:ascii="宋体" w:hAnsi="宋体"/>
                <w:b/>
                <w:bCs/>
                <w:color w:val="auto"/>
                <w:sz w:val="24"/>
                <w:highlight w:val="none"/>
              </w:rPr>
            </w:pPr>
          </w:p>
          <w:p>
            <w:pPr>
              <w:spacing w:line="360" w:lineRule="auto"/>
              <w:jc w:val="center"/>
              <w:rPr>
                <w:rFonts w:ascii="宋体" w:hAnsi="宋体"/>
                <w:b/>
                <w:bCs/>
                <w:color w:val="auto"/>
                <w:sz w:val="24"/>
                <w:highlight w:val="none"/>
              </w:rPr>
            </w:pPr>
            <w:r>
              <w:rPr>
                <w:rFonts w:hint="eastAsia" w:ascii="宋体" w:hAnsi="宋体"/>
                <w:b/>
                <w:bCs/>
                <w:color w:val="auto"/>
                <w:sz w:val="24"/>
                <w:highlight w:val="none"/>
              </w:rPr>
              <w:t>数量</w:t>
            </w:r>
          </w:p>
        </w:tc>
        <w:tc>
          <w:tcPr>
            <w:tcW w:w="1559" w:type="dxa"/>
            <w:tcMar>
              <w:top w:w="0" w:type="dxa"/>
              <w:left w:w="108" w:type="dxa"/>
              <w:bottom w:w="0" w:type="dxa"/>
              <w:right w:w="108" w:type="dxa"/>
            </w:tcMar>
            <w:vAlign w:val="center"/>
          </w:tcPr>
          <w:p>
            <w:pPr>
              <w:spacing w:line="360" w:lineRule="auto"/>
              <w:jc w:val="center"/>
              <w:rPr>
                <w:rFonts w:ascii="宋体" w:hAnsi="宋体"/>
                <w:b/>
                <w:bCs/>
                <w:color w:val="auto"/>
                <w:sz w:val="24"/>
                <w:highlight w:val="none"/>
              </w:rPr>
            </w:pPr>
            <w:r>
              <w:rPr>
                <w:rFonts w:hint="eastAsia" w:ascii="宋体" w:hAnsi="宋体"/>
                <w:b/>
                <w:bCs/>
                <w:color w:val="auto"/>
                <w:sz w:val="24"/>
                <w:highlight w:val="none"/>
              </w:rPr>
              <w:t>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9" w:hRule="atLeast"/>
          <w:jc w:val="center"/>
        </w:trPr>
        <w:tc>
          <w:tcPr>
            <w:tcW w:w="704" w:type="dxa"/>
            <w:tcMar>
              <w:top w:w="0" w:type="dxa"/>
              <w:left w:w="108" w:type="dxa"/>
              <w:bottom w:w="0" w:type="dxa"/>
              <w:right w:w="108" w:type="dxa"/>
            </w:tcMar>
            <w:vAlign w:val="center"/>
          </w:tcPr>
          <w:p>
            <w:pPr>
              <w:spacing w:line="360" w:lineRule="auto"/>
              <w:jc w:val="center"/>
              <w:rPr>
                <w:rFonts w:ascii="宋体" w:hAnsi="宋体"/>
                <w:b/>
                <w:bCs/>
                <w:color w:val="auto"/>
                <w:sz w:val="24"/>
                <w:highlight w:val="none"/>
              </w:rPr>
            </w:pPr>
            <w:r>
              <w:rPr>
                <w:rFonts w:hint="eastAsia" w:ascii="宋体" w:hAnsi="宋体"/>
                <w:b/>
                <w:bCs/>
                <w:color w:val="auto"/>
                <w:sz w:val="24"/>
                <w:highlight w:val="none"/>
              </w:rPr>
              <w:t>1</w:t>
            </w:r>
          </w:p>
        </w:tc>
        <w:tc>
          <w:tcPr>
            <w:tcW w:w="1418"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图书馆（文化遗产部）IEL数据库</w:t>
            </w:r>
          </w:p>
        </w:tc>
        <w:tc>
          <w:tcPr>
            <w:tcW w:w="4536" w:type="dxa"/>
            <w:tcMar>
              <w:top w:w="0" w:type="dxa"/>
              <w:left w:w="108" w:type="dxa"/>
              <w:bottom w:w="0" w:type="dxa"/>
              <w:right w:w="108" w:type="dxa"/>
            </w:tcMar>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提供订购该数据库集团用户的所有期刊的在学校IP段内的全年度访问权限；访问资源无并发用户数限制；IP下载异常时，只可暂停该IP段访问权利，不得停止全校使用权限。</w:t>
            </w:r>
          </w:p>
        </w:tc>
        <w:tc>
          <w:tcPr>
            <w:tcW w:w="850"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1个</w:t>
            </w:r>
          </w:p>
        </w:tc>
        <w:tc>
          <w:tcPr>
            <w:tcW w:w="1559" w:type="dxa"/>
            <w:tcMar>
              <w:top w:w="0" w:type="dxa"/>
              <w:left w:w="108" w:type="dxa"/>
              <w:bottom w:w="0" w:type="dxa"/>
              <w:right w:w="108" w:type="dxa"/>
            </w:tcMar>
            <w:vAlign w:val="center"/>
          </w:tcPr>
          <w:p>
            <w:pPr>
              <w:spacing w:line="360" w:lineRule="auto"/>
              <w:jc w:val="center"/>
              <w:rPr>
                <w:rFonts w:ascii="宋体" w:hAnsi="宋体"/>
                <w:color w:val="auto"/>
                <w:sz w:val="24"/>
                <w:highlight w:val="none"/>
              </w:rPr>
            </w:pPr>
            <w:r>
              <w:rPr>
                <w:rFonts w:ascii="宋体" w:hAnsi="宋体"/>
                <w:color w:val="auto"/>
                <w:sz w:val="24"/>
                <w:highlight w:val="none"/>
              </w:rPr>
              <w:t>81027.99美元</w:t>
            </w:r>
            <w:r>
              <w:rPr>
                <w:rFonts w:hint="eastAsia" w:ascii="宋体" w:hAnsi="宋体"/>
                <w:color w:val="auto"/>
                <w:sz w:val="24"/>
                <w:highlight w:val="none"/>
              </w:rPr>
              <w:t>（订购期中的第一年度预算）</w:t>
            </w:r>
          </w:p>
        </w:tc>
      </w:tr>
    </w:tbl>
    <w:p>
      <w:pPr>
        <w:widowControl/>
        <w:spacing w:line="360" w:lineRule="auto"/>
        <w:jc w:val="left"/>
        <w:rPr>
          <w:rFonts w:ascii="宋体" w:hAnsi="宋体"/>
          <w:color w:val="auto"/>
          <w:sz w:val="24"/>
          <w:highlight w:val="none"/>
        </w:rPr>
      </w:pPr>
    </w:p>
    <w:p>
      <w:pPr>
        <w:adjustRightInd w:val="0"/>
        <w:snapToGrid w:val="0"/>
        <w:spacing w:line="360" w:lineRule="auto"/>
        <w:rPr>
          <w:rFonts w:ascii="宋体" w:hAnsi="宋体"/>
          <w:color w:val="auto"/>
          <w:sz w:val="24"/>
          <w:highlight w:val="none"/>
        </w:rPr>
      </w:pPr>
      <w:r>
        <w:rPr>
          <w:rFonts w:hint="eastAsia" w:ascii="宋体" w:hAnsi="宋体"/>
          <w:b/>
          <w:color w:val="auto"/>
          <w:sz w:val="24"/>
          <w:highlight w:val="none"/>
        </w:rPr>
        <w:t>项目说明：★</w:t>
      </w:r>
      <w:r>
        <w:rPr>
          <w:rFonts w:hint="eastAsia" w:ascii="宋体" w:hAnsi="宋体"/>
          <w:color w:val="auto"/>
          <w:sz w:val="24"/>
          <w:highlight w:val="none"/>
        </w:rPr>
        <w:t>号指标（如有）为必须满足指标，不满足任何一条，将被视为非实质性响应招标文件要求，引起废标。</w:t>
      </w:r>
      <w:r>
        <w:rPr>
          <w:rFonts w:ascii="宋体" w:hAnsi="宋体"/>
          <w:color w:val="auto"/>
          <w:sz w:val="24"/>
          <w:highlight w:val="none"/>
        </w:rPr>
        <w:br w:type="page"/>
      </w:r>
    </w:p>
    <w:p>
      <w:pPr>
        <w:pStyle w:val="3"/>
        <w:pageBreakBefore/>
        <w:spacing w:before="0"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二、</w:t>
      </w:r>
      <w:bookmarkEnd w:id="261"/>
      <w:r>
        <w:rPr>
          <w:rFonts w:hint="eastAsia" w:ascii="宋体" w:hAnsi="宋体" w:eastAsia="宋体"/>
          <w:color w:val="auto"/>
          <w:sz w:val="32"/>
          <w:szCs w:val="32"/>
          <w:highlight w:val="none"/>
        </w:rPr>
        <w:t>商务需求</w:t>
      </w:r>
    </w:p>
    <w:p>
      <w:pPr>
        <w:spacing w:line="360" w:lineRule="auto"/>
        <w:rPr>
          <w:rFonts w:ascii="宋体" w:hAnsi="宋体"/>
          <w:b/>
          <w:bCs/>
          <w:color w:val="auto"/>
          <w:sz w:val="24"/>
          <w:highlight w:val="none"/>
        </w:rPr>
      </w:pPr>
    </w:p>
    <w:p>
      <w:pPr>
        <w:spacing w:before="120" w:beforeLines="50" w:after="120" w:afterLines="50" w:line="360" w:lineRule="auto"/>
        <w:rPr>
          <w:rFonts w:ascii="宋体" w:hAnsi="宋体"/>
          <w:b/>
          <w:bCs/>
          <w:color w:val="auto"/>
          <w:sz w:val="24"/>
          <w:highlight w:val="none"/>
        </w:rPr>
      </w:pPr>
      <w:bookmarkStart w:id="262" w:name="_Hlk58837258"/>
      <w:r>
        <w:rPr>
          <w:rFonts w:hint="eastAsia" w:ascii="宋体" w:hAnsi="宋体"/>
          <w:b/>
          <w:bCs/>
          <w:color w:val="auto"/>
          <w:sz w:val="24"/>
          <w:highlight w:val="none"/>
        </w:rPr>
        <w:t>1</w:t>
      </w:r>
      <w:r>
        <w:rPr>
          <w:rFonts w:ascii="宋体" w:hAnsi="宋体"/>
          <w:b/>
          <w:bCs/>
          <w:color w:val="auto"/>
          <w:sz w:val="24"/>
          <w:highlight w:val="none"/>
        </w:rPr>
        <w:t xml:space="preserve">.  </w:t>
      </w:r>
      <w:r>
        <w:rPr>
          <w:rFonts w:hint="eastAsia" w:ascii="宋体" w:hAnsi="宋体"/>
          <w:b/>
          <w:bCs/>
          <w:color w:val="auto"/>
          <w:sz w:val="24"/>
          <w:highlight w:val="none"/>
        </w:rPr>
        <w:t>项目建设目标：</w:t>
      </w:r>
    </w:p>
    <w:p>
      <w:pPr>
        <w:spacing w:line="360" w:lineRule="auto"/>
        <w:ind w:firstLine="420"/>
        <w:rPr>
          <w:rFonts w:ascii="宋体" w:hAnsi="宋体"/>
          <w:color w:val="auto"/>
          <w:sz w:val="24"/>
          <w:highlight w:val="none"/>
        </w:rPr>
      </w:pPr>
      <w:r>
        <w:rPr>
          <w:rFonts w:hint="eastAsia" w:ascii="宋体" w:hAnsi="宋体"/>
          <w:color w:val="auto"/>
          <w:sz w:val="24"/>
          <w:highlight w:val="none"/>
        </w:rPr>
        <w:t>图书馆（文化遗产部）IEL数据库采购</w:t>
      </w:r>
    </w:p>
    <w:p>
      <w:pPr>
        <w:spacing w:before="120" w:beforeLines="50" w:after="120" w:afterLines="50" w:line="360" w:lineRule="auto"/>
        <w:rPr>
          <w:rFonts w:ascii="宋体" w:hAnsi="宋体"/>
          <w:b/>
          <w:bCs/>
          <w:color w:val="auto"/>
          <w:sz w:val="24"/>
          <w:highlight w:val="none"/>
        </w:rPr>
      </w:pPr>
      <w:r>
        <w:rPr>
          <w:rFonts w:hint="eastAsia" w:ascii="宋体" w:hAnsi="宋体"/>
          <w:b/>
          <w:bCs/>
          <w:color w:val="auto"/>
          <w:sz w:val="24"/>
          <w:highlight w:val="none"/>
        </w:rPr>
        <w:t>2</w:t>
      </w:r>
      <w:r>
        <w:rPr>
          <w:rFonts w:ascii="宋体" w:hAnsi="宋体"/>
          <w:b/>
          <w:bCs/>
          <w:color w:val="auto"/>
          <w:sz w:val="24"/>
          <w:highlight w:val="none"/>
        </w:rPr>
        <w:t xml:space="preserve">.  </w:t>
      </w:r>
      <w:r>
        <w:rPr>
          <w:rFonts w:hint="eastAsia" w:ascii="宋体" w:hAnsi="宋体"/>
          <w:b/>
          <w:bCs/>
          <w:color w:val="auto"/>
          <w:sz w:val="24"/>
          <w:highlight w:val="none"/>
        </w:rPr>
        <w:t>相关标准及规范：</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符合各项</w:t>
      </w:r>
      <w:r>
        <w:rPr>
          <w:rFonts w:ascii="宋体" w:hAnsi="宋体"/>
          <w:color w:val="auto"/>
          <w:sz w:val="24"/>
          <w:highlight w:val="none"/>
        </w:rPr>
        <w:t>国家</w:t>
      </w:r>
      <w:r>
        <w:rPr>
          <w:rFonts w:hint="eastAsia" w:ascii="宋体" w:hAnsi="宋体"/>
          <w:color w:val="auto"/>
          <w:sz w:val="24"/>
          <w:highlight w:val="none"/>
        </w:rPr>
        <w:t>标准</w:t>
      </w:r>
      <w:r>
        <w:rPr>
          <w:rFonts w:ascii="宋体" w:hAnsi="宋体"/>
          <w:color w:val="auto"/>
          <w:sz w:val="24"/>
          <w:highlight w:val="none"/>
        </w:rPr>
        <w:t>和规范，可以在</w:t>
      </w:r>
      <w:r>
        <w:rPr>
          <w:rFonts w:hint="eastAsia" w:ascii="宋体" w:hAnsi="宋体"/>
          <w:color w:val="auto"/>
          <w:sz w:val="24"/>
          <w:highlight w:val="none"/>
        </w:rPr>
        <w:t>南京农业大学现有</w:t>
      </w:r>
      <w:r>
        <w:rPr>
          <w:rFonts w:ascii="宋体" w:hAnsi="宋体"/>
          <w:color w:val="auto"/>
          <w:sz w:val="24"/>
          <w:highlight w:val="none"/>
        </w:rPr>
        <w:t>条件下稳定运行。</w:t>
      </w:r>
    </w:p>
    <w:p>
      <w:pPr>
        <w:spacing w:before="120" w:beforeLines="50" w:after="120" w:afterLines="50" w:line="360" w:lineRule="auto"/>
        <w:rPr>
          <w:rFonts w:ascii="宋体" w:hAnsi="宋体"/>
          <w:b/>
          <w:bCs/>
          <w:color w:val="auto"/>
          <w:sz w:val="24"/>
          <w:highlight w:val="none"/>
        </w:rPr>
      </w:pPr>
      <w:r>
        <w:rPr>
          <w:rFonts w:hint="eastAsia" w:ascii="宋体" w:hAnsi="宋体"/>
          <w:b/>
          <w:bCs/>
          <w:color w:val="auto"/>
          <w:sz w:val="24"/>
          <w:highlight w:val="none"/>
        </w:rPr>
        <w:t>3</w:t>
      </w:r>
      <w:r>
        <w:rPr>
          <w:rFonts w:ascii="宋体" w:hAnsi="宋体"/>
          <w:b/>
          <w:bCs/>
          <w:color w:val="auto"/>
          <w:sz w:val="24"/>
          <w:highlight w:val="none"/>
        </w:rPr>
        <w:t xml:space="preserve">.  </w:t>
      </w:r>
      <w:r>
        <w:rPr>
          <w:rFonts w:hint="eastAsia" w:ascii="宋体" w:hAnsi="宋体"/>
          <w:b/>
          <w:bCs/>
          <w:color w:val="auto"/>
          <w:sz w:val="24"/>
          <w:highlight w:val="none"/>
        </w:rPr>
        <w:t>质量、安全、技术规格、物理特性等要求：</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符合各项</w:t>
      </w:r>
      <w:r>
        <w:rPr>
          <w:rFonts w:ascii="宋体" w:hAnsi="宋体"/>
          <w:color w:val="auto"/>
          <w:sz w:val="24"/>
          <w:highlight w:val="none"/>
        </w:rPr>
        <w:t>国家</w:t>
      </w:r>
      <w:r>
        <w:rPr>
          <w:rFonts w:hint="eastAsia" w:ascii="宋体" w:hAnsi="宋体"/>
          <w:color w:val="auto"/>
          <w:sz w:val="24"/>
          <w:highlight w:val="none"/>
        </w:rPr>
        <w:t>质量</w:t>
      </w:r>
      <w:r>
        <w:rPr>
          <w:rFonts w:ascii="宋体" w:hAnsi="宋体"/>
          <w:color w:val="auto"/>
          <w:sz w:val="24"/>
          <w:highlight w:val="none"/>
        </w:rPr>
        <w:t>和安全</w:t>
      </w:r>
      <w:r>
        <w:rPr>
          <w:rFonts w:hint="eastAsia" w:ascii="宋体" w:hAnsi="宋体"/>
          <w:color w:val="auto"/>
          <w:sz w:val="24"/>
          <w:highlight w:val="none"/>
        </w:rPr>
        <w:t>标准，</w:t>
      </w:r>
      <w:r>
        <w:rPr>
          <w:rFonts w:ascii="宋体" w:hAnsi="宋体"/>
          <w:color w:val="auto"/>
          <w:sz w:val="24"/>
          <w:highlight w:val="none"/>
        </w:rPr>
        <w:t>可以在</w:t>
      </w:r>
      <w:r>
        <w:rPr>
          <w:rFonts w:hint="eastAsia" w:ascii="宋体" w:hAnsi="宋体"/>
          <w:color w:val="auto"/>
          <w:sz w:val="24"/>
          <w:highlight w:val="none"/>
        </w:rPr>
        <w:t>现有</w:t>
      </w:r>
      <w:r>
        <w:rPr>
          <w:rFonts w:ascii="宋体" w:hAnsi="宋体"/>
          <w:color w:val="auto"/>
          <w:sz w:val="24"/>
          <w:highlight w:val="none"/>
        </w:rPr>
        <w:t>条件下</w:t>
      </w:r>
      <w:r>
        <w:rPr>
          <w:rFonts w:hint="eastAsia" w:ascii="宋体" w:hAnsi="宋体"/>
          <w:color w:val="auto"/>
          <w:sz w:val="24"/>
          <w:highlight w:val="none"/>
        </w:rPr>
        <w:t>安全</w:t>
      </w:r>
      <w:r>
        <w:rPr>
          <w:rFonts w:ascii="宋体" w:hAnsi="宋体"/>
          <w:color w:val="auto"/>
          <w:sz w:val="24"/>
          <w:highlight w:val="none"/>
        </w:rPr>
        <w:t>稳定运行</w:t>
      </w:r>
      <w:r>
        <w:rPr>
          <w:rFonts w:hint="eastAsia" w:ascii="宋体" w:hAnsi="宋体"/>
          <w:color w:val="auto"/>
          <w:sz w:val="24"/>
          <w:highlight w:val="none"/>
        </w:rPr>
        <w:t>。</w:t>
      </w:r>
    </w:p>
    <w:p>
      <w:pPr>
        <w:spacing w:before="120" w:beforeLines="50" w:after="120" w:afterLines="50" w:line="360" w:lineRule="auto"/>
        <w:rPr>
          <w:rFonts w:ascii="宋体" w:hAnsi="宋体"/>
          <w:b/>
          <w:bCs/>
          <w:color w:val="auto"/>
          <w:sz w:val="24"/>
          <w:highlight w:val="none"/>
        </w:rPr>
      </w:pPr>
      <w:r>
        <w:rPr>
          <w:rFonts w:ascii="宋体" w:hAnsi="宋体"/>
          <w:b/>
          <w:bCs/>
          <w:color w:val="auto"/>
          <w:sz w:val="24"/>
          <w:highlight w:val="none"/>
        </w:rPr>
        <w:t xml:space="preserve">4.  </w:t>
      </w:r>
      <w:r>
        <w:rPr>
          <w:rFonts w:hint="eastAsia" w:ascii="宋体" w:hAnsi="宋体"/>
          <w:b/>
          <w:bCs/>
          <w:color w:val="auto"/>
          <w:sz w:val="24"/>
          <w:highlight w:val="none"/>
        </w:rPr>
        <w:t>交付数量、交付时间和地点：</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交付数量：以“标的物清单”为准；</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交付时间：以合同签订的交付时间为准；</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交付地点：南京农业大学指定地点。</w:t>
      </w:r>
    </w:p>
    <w:p>
      <w:pPr>
        <w:spacing w:before="120" w:beforeLines="50" w:after="120" w:afterLines="50" w:line="360" w:lineRule="auto"/>
        <w:rPr>
          <w:rFonts w:ascii="宋体" w:hAnsi="宋体"/>
          <w:color w:val="auto"/>
          <w:sz w:val="24"/>
          <w:highlight w:val="none"/>
        </w:rPr>
      </w:pPr>
      <w:r>
        <w:rPr>
          <w:rFonts w:hint="eastAsia" w:ascii="宋体" w:hAnsi="宋体"/>
          <w:b/>
          <w:bCs/>
          <w:color w:val="auto"/>
          <w:sz w:val="24"/>
          <w:highlight w:val="none"/>
        </w:rPr>
        <w:t>5</w:t>
      </w:r>
      <w:r>
        <w:rPr>
          <w:rFonts w:ascii="宋体" w:hAnsi="宋体"/>
          <w:b/>
          <w:bCs/>
          <w:color w:val="auto"/>
          <w:sz w:val="24"/>
          <w:highlight w:val="none"/>
        </w:rPr>
        <w:t xml:space="preserve">.  </w:t>
      </w:r>
      <w:r>
        <w:rPr>
          <w:rFonts w:hint="eastAsia" w:ascii="宋体" w:hAnsi="宋体"/>
          <w:b/>
          <w:bCs/>
          <w:color w:val="auto"/>
          <w:sz w:val="24"/>
          <w:highlight w:val="none"/>
        </w:rPr>
        <w:t>订购期：</w:t>
      </w:r>
      <w:bookmarkStart w:id="263" w:name="_Hlk82004345"/>
      <w:r>
        <w:rPr>
          <w:rFonts w:hint="eastAsia" w:ascii="宋体" w:hAnsi="宋体"/>
          <w:color w:val="auto"/>
          <w:sz w:val="24"/>
          <w:highlight w:val="none"/>
        </w:rPr>
        <w:t>订购期两年，合同一年一签。</w:t>
      </w:r>
    </w:p>
    <w:p>
      <w:pPr>
        <w:spacing w:line="360" w:lineRule="auto"/>
        <w:rPr>
          <w:rFonts w:ascii="宋体" w:hAnsi="宋体"/>
          <w:b/>
          <w:bCs/>
          <w:color w:val="auto"/>
          <w:sz w:val="24"/>
          <w:highlight w:val="none"/>
        </w:rPr>
      </w:pPr>
      <w:r>
        <w:rPr>
          <w:rFonts w:hint="eastAsia" w:ascii="宋体" w:hAnsi="宋体"/>
          <w:b/>
          <w:bCs/>
          <w:color w:val="auto"/>
          <w:sz w:val="24"/>
          <w:highlight w:val="none"/>
        </w:rPr>
        <w:t>★6</w:t>
      </w:r>
      <w:r>
        <w:rPr>
          <w:rFonts w:ascii="宋体" w:hAnsi="宋体"/>
          <w:b/>
          <w:bCs/>
          <w:color w:val="auto"/>
          <w:sz w:val="24"/>
          <w:highlight w:val="none"/>
        </w:rPr>
        <w:t xml:space="preserve">.  </w:t>
      </w:r>
      <w:r>
        <w:rPr>
          <w:rFonts w:hint="eastAsia" w:ascii="宋体" w:hAnsi="宋体"/>
          <w:b/>
          <w:bCs/>
          <w:color w:val="auto"/>
          <w:sz w:val="24"/>
          <w:highlight w:val="none"/>
        </w:rPr>
        <w:t>报价方式：</w:t>
      </w:r>
    </w:p>
    <w:bookmarkEnd w:id="263"/>
    <w:p>
      <w:pPr>
        <w:spacing w:line="360" w:lineRule="auto"/>
        <w:ind w:left="420"/>
        <w:rPr>
          <w:rFonts w:ascii="宋体" w:hAnsi="宋体"/>
          <w:color w:val="auto"/>
          <w:sz w:val="24"/>
          <w:highlight w:val="none"/>
        </w:rPr>
      </w:pPr>
      <w:r>
        <w:rPr>
          <w:rFonts w:hint="eastAsia" w:ascii="宋体" w:hAnsi="宋体"/>
          <w:color w:val="auto"/>
          <w:sz w:val="24"/>
          <w:highlight w:val="none"/>
        </w:rPr>
        <w:t>（1）订购期内第一年度报价（作为付款依据）：不得超过</w:t>
      </w:r>
      <w:r>
        <w:rPr>
          <w:rFonts w:ascii="宋体" w:hAnsi="宋体"/>
          <w:color w:val="auto"/>
          <w:sz w:val="24"/>
          <w:highlight w:val="none"/>
        </w:rPr>
        <w:t>2022</w:t>
      </w:r>
      <w:r>
        <w:rPr>
          <w:rFonts w:hint="eastAsia" w:ascii="宋体" w:hAnsi="宋体"/>
          <w:color w:val="auto"/>
          <w:sz w:val="24"/>
          <w:highlight w:val="none"/>
        </w:rPr>
        <w:t>年度预算金额（即8</w:t>
      </w:r>
      <w:r>
        <w:rPr>
          <w:rFonts w:ascii="宋体" w:hAnsi="宋体"/>
          <w:color w:val="auto"/>
          <w:sz w:val="24"/>
          <w:highlight w:val="none"/>
        </w:rPr>
        <w:t>1027.99</w:t>
      </w:r>
      <w:r>
        <w:rPr>
          <w:rFonts w:hint="eastAsia" w:ascii="宋体" w:hAnsi="宋体"/>
          <w:color w:val="auto"/>
          <w:sz w:val="24"/>
          <w:highlight w:val="none"/>
        </w:rPr>
        <w:t>美元，含所有费用）；</w:t>
      </w:r>
    </w:p>
    <w:p>
      <w:pPr>
        <w:spacing w:line="360" w:lineRule="auto"/>
        <w:ind w:left="420"/>
        <w:rPr>
          <w:rFonts w:ascii="宋体" w:hAnsi="宋体"/>
          <w:color w:val="auto"/>
          <w:sz w:val="24"/>
          <w:highlight w:val="none"/>
        </w:rPr>
      </w:pPr>
      <w:r>
        <w:rPr>
          <w:rFonts w:hint="eastAsia" w:ascii="宋体" w:hAnsi="宋体"/>
          <w:color w:val="auto"/>
          <w:sz w:val="24"/>
          <w:highlight w:val="none"/>
        </w:rPr>
        <w:t>（2）订购期内第二年度报价（作为付款依据）：不得超过该库</w:t>
      </w:r>
      <w:r>
        <w:rPr>
          <w:rFonts w:ascii="宋体" w:hAnsi="宋体"/>
          <w:color w:val="auto"/>
          <w:sz w:val="24"/>
          <w:highlight w:val="none"/>
        </w:rPr>
        <w:t>DRAA</w:t>
      </w:r>
      <w:r>
        <w:rPr>
          <w:rFonts w:hint="eastAsia" w:ascii="宋体" w:hAnsi="宋体"/>
          <w:color w:val="auto"/>
          <w:sz w:val="24"/>
          <w:highlight w:val="none"/>
        </w:rPr>
        <w:t>当年谈判价*</w:t>
      </w:r>
      <w:r>
        <w:rPr>
          <w:rFonts w:ascii="宋体" w:hAnsi="宋体"/>
          <w:color w:val="auto"/>
          <w:sz w:val="24"/>
          <w:highlight w:val="none"/>
        </w:rPr>
        <w:t>1.014</w:t>
      </w:r>
      <w:r>
        <w:rPr>
          <w:rFonts w:hint="eastAsia" w:ascii="宋体" w:hAnsi="宋体"/>
          <w:color w:val="auto"/>
          <w:sz w:val="24"/>
          <w:highlight w:val="none"/>
        </w:rPr>
        <w:t>（含所有费用）。</w:t>
      </w:r>
    </w:p>
    <w:p>
      <w:pPr>
        <w:spacing w:before="120" w:beforeLines="50" w:after="120" w:afterLines="50" w:line="360" w:lineRule="auto"/>
        <w:rPr>
          <w:rFonts w:ascii="宋体" w:hAnsi="宋体"/>
          <w:color w:val="auto"/>
          <w:sz w:val="24"/>
          <w:highlight w:val="none"/>
        </w:rPr>
      </w:pPr>
      <w:r>
        <w:rPr>
          <w:rFonts w:ascii="宋体" w:hAnsi="宋体"/>
          <w:b/>
          <w:bCs/>
          <w:color w:val="auto"/>
          <w:sz w:val="24"/>
          <w:highlight w:val="none"/>
        </w:rPr>
        <w:t xml:space="preserve">7.  </w:t>
      </w:r>
      <w:r>
        <w:rPr>
          <w:rFonts w:hint="eastAsia" w:ascii="宋体" w:hAnsi="宋体"/>
          <w:b/>
          <w:bCs/>
          <w:color w:val="auto"/>
          <w:sz w:val="24"/>
          <w:highlight w:val="none"/>
        </w:rPr>
        <w:t>验收标准：</w:t>
      </w:r>
      <w:r>
        <w:rPr>
          <w:rFonts w:hint="eastAsia" w:ascii="宋体" w:hAnsi="宋体"/>
          <w:color w:val="auto"/>
          <w:sz w:val="24"/>
          <w:highlight w:val="none"/>
        </w:rPr>
        <w:t>数据库接入完毕，所有数据可以正常使用。</w:t>
      </w:r>
    </w:p>
    <w:p>
      <w:pPr>
        <w:spacing w:line="360" w:lineRule="auto"/>
        <w:rPr>
          <w:rFonts w:ascii="宋体" w:hAnsi="宋体"/>
          <w:b/>
          <w:bCs/>
          <w:color w:val="auto"/>
          <w:sz w:val="24"/>
          <w:highlight w:val="none"/>
        </w:rPr>
      </w:pPr>
      <w:r>
        <w:rPr>
          <w:rFonts w:ascii="宋体" w:hAnsi="宋体"/>
          <w:b/>
          <w:bCs/>
          <w:color w:val="auto"/>
          <w:sz w:val="24"/>
          <w:highlight w:val="none"/>
        </w:rPr>
        <w:t xml:space="preserve">8.  </w:t>
      </w:r>
      <w:r>
        <w:rPr>
          <w:rFonts w:hint="eastAsia" w:ascii="宋体" w:hAnsi="宋体"/>
          <w:b/>
          <w:bCs/>
          <w:color w:val="auto"/>
          <w:sz w:val="24"/>
          <w:highlight w:val="none"/>
        </w:rPr>
        <w:t>其他技术、服务要求</w:t>
      </w:r>
      <w:bookmarkEnd w:id="262"/>
    </w:p>
    <w:p>
      <w:pPr>
        <w:spacing w:line="360" w:lineRule="auto"/>
        <w:ind w:left="420"/>
        <w:rPr>
          <w:rFonts w:ascii="宋体" w:hAnsi="宋体"/>
          <w:b/>
          <w:bCs/>
          <w:color w:val="auto"/>
          <w:sz w:val="24"/>
          <w:highlight w:val="none"/>
        </w:rPr>
      </w:pPr>
      <w:r>
        <w:rPr>
          <w:rFonts w:hint="eastAsia" w:ascii="宋体" w:hAnsi="宋体"/>
          <w:color w:val="auto"/>
          <w:sz w:val="24"/>
          <w:highlight w:val="none"/>
        </w:rPr>
        <w:t>付款方式：</w:t>
      </w:r>
      <w:bookmarkStart w:id="264" w:name="_Hlk527559631"/>
      <w:r>
        <w:rPr>
          <w:rFonts w:hint="eastAsia" w:ascii="宋体" w:hAnsi="宋体"/>
          <w:color w:val="auto"/>
          <w:sz w:val="24"/>
          <w:highlight w:val="none"/>
        </w:rPr>
        <w:t>订购期内，每年按合同约定一次性支付年度全额款项</w:t>
      </w:r>
      <w:bookmarkEnd w:id="264"/>
      <w:r>
        <w:rPr>
          <w:rFonts w:hint="eastAsia" w:ascii="宋体" w:hAnsi="宋体"/>
          <w:color w:val="auto"/>
          <w:sz w:val="24"/>
          <w:highlight w:val="none"/>
        </w:rPr>
        <w:t>。</w:t>
      </w:r>
    </w:p>
    <w:p>
      <w:pPr>
        <w:pStyle w:val="3"/>
        <w:pageBreakBefore/>
        <w:numPr>
          <w:ilvl w:val="0"/>
          <w:numId w:val="10"/>
        </w:numPr>
        <w:spacing w:before="0"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技术要求</w:t>
      </w:r>
    </w:p>
    <w:p>
      <w:pPr>
        <w:spacing w:line="360" w:lineRule="auto"/>
        <w:rPr>
          <w:rFonts w:ascii="宋体" w:hAnsi="宋体"/>
          <w:b/>
          <w:color w:val="auto"/>
          <w:sz w:val="24"/>
          <w:highlight w:val="none"/>
        </w:rPr>
      </w:pPr>
    </w:p>
    <w:p>
      <w:pPr>
        <w:spacing w:line="360" w:lineRule="auto"/>
        <w:rPr>
          <w:rFonts w:ascii="宋体" w:hAnsi="宋体"/>
          <w:b/>
          <w:bCs/>
          <w:color w:val="auto"/>
          <w:sz w:val="24"/>
          <w:highlight w:val="none"/>
        </w:rPr>
      </w:pPr>
      <w:r>
        <w:rPr>
          <w:rFonts w:hint="eastAsia" w:ascii="宋体" w:hAnsi="宋体"/>
          <w:b/>
          <w:color w:val="auto"/>
          <w:sz w:val="24"/>
          <w:highlight w:val="none"/>
        </w:rPr>
        <w:t>（一）标的物清单：</w:t>
      </w:r>
    </w:p>
    <w:tbl>
      <w:tblPr>
        <w:tblStyle w:val="2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59"/>
        <w:gridCol w:w="709"/>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vAlign w:val="center"/>
          </w:tcPr>
          <w:p>
            <w:pPr>
              <w:spacing w:line="360" w:lineRule="auto"/>
              <w:jc w:val="center"/>
              <w:rPr>
                <w:rFonts w:ascii="宋体" w:hAnsi="宋体"/>
                <w:b/>
                <w:color w:val="auto"/>
                <w:sz w:val="24"/>
                <w:highlight w:val="none"/>
              </w:rPr>
            </w:pPr>
            <w:r>
              <w:rPr>
                <w:rFonts w:hint="eastAsia" w:ascii="宋体" w:hAnsi="宋体"/>
                <w:b/>
                <w:color w:val="auto"/>
                <w:sz w:val="24"/>
                <w:highlight w:val="none"/>
              </w:rPr>
              <w:t>包号</w:t>
            </w:r>
          </w:p>
        </w:tc>
        <w:tc>
          <w:tcPr>
            <w:tcW w:w="1559" w:type="dxa"/>
            <w:shd w:val="clear" w:color="auto" w:fill="auto"/>
            <w:vAlign w:val="center"/>
          </w:tcPr>
          <w:p>
            <w:pPr>
              <w:spacing w:line="360" w:lineRule="auto"/>
              <w:jc w:val="center"/>
              <w:rPr>
                <w:rFonts w:ascii="宋体" w:hAnsi="宋体"/>
                <w:b/>
                <w:color w:val="auto"/>
                <w:sz w:val="24"/>
                <w:highlight w:val="none"/>
              </w:rPr>
            </w:pPr>
            <w:r>
              <w:rPr>
                <w:rFonts w:hint="eastAsia" w:ascii="宋体" w:hAnsi="宋体"/>
                <w:b/>
                <w:color w:val="auto"/>
                <w:sz w:val="24"/>
                <w:highlight w:val="none"/>
              </w:rPr>
              <w:t>标的物名称</w:t>
            </w:r>
          </w:p>
        </w:tc>
        <w:tc>
          <w:tcPr>
            <w:tcW w:w="709" w:type="dxa"/>
            <w:shd w:val="clear" w:color="auto" w:fill="auto"/>
            <w:vAlign w:val="center"/>
          </w:tcPr>
          <w:p>
            <w:pPr>
              <w:spacing w:line="360" w:lineRule="auto"/>
              <w:jc w:val="center"/>
              <w:rPr>
                <w:rFonts w:ascii="宋体" w:hAnsi="宋体"/>
                <w:b/>
                <w:color w:val="auto"/>
                <w:sz w:val="24"/>
                <w:highlight w:val="none"/>
              </w:rPr>
            </w:pPr>
            <w:r>
              <w:rPr>
                <w:rFonts w:hint="eastAsia" w:ascii="宋体" w:hAnsi="宋体"/>
                <w:b/>
                <w:color w:val="auto"/>
                <w:sz w:val="24"/>
                <w:highlight w:val="none"/>
              </w:rPr>
              <w:t>数量</w:t>
            </w:r>
          </w:p>
        </w:tc>
        <w:tc>
          <w:tcPr>
            <w:tcW w:w="6379" w:type="dxa"/>
            <w:shd w:val="clear" w:color="auto" w:fill="auto"/>
            <w:vAlign w:val="center"/>
          </w:tcPr>
          <w:p>
            <w:pPr>
              <w:spacing w:line="360" w:lineRule="auto"/>
              <w:jc w:val="center"/>
              <w:rPr>
                <w:rFonts w:ascii="宋体" w:hAnsi="宋体"/>
                <w:b/>
                <w:color w:val="auto"/>
                <w:sz w:val="24"/>
                <w:highlight w:val="none"/>
              </w:rPr>
            </w:pPr>
            <w:r>
              <w:rPr>
                <w:rFonts w:hint="eastAsia" w:ascii="宋体" w:hAnsi="宋体"/>
                <w:b/>
                <w:color w:val="auto"/>
                <w:sz w:val="24"/>
                <w:highlight w:val="none"/>
              </w:rPr>
              <w:t>简要技术要求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704" w:type="dxa"/>
            <w:shd w:val="clear" w:color="auto" w:fill="auto"/>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w:t>
            </w:r>
          </w:p>
        </w:tc>
        <w:tc>
          <w:tcPr>
            <w:tcW w:w="1559" w:type="dxa"/>
            <w:shd w:val="clear" w:color="auto" w:fill="auto"/>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IEL数据库</w:t>
            </w:r>
          </w:p>
        </w:tc>
        <w:tc>
          <w:tcPr>
            <w:tcW w:w="709" w:type="dxa"/>
            <w:shd w:val="clear" w:color="auto" w:fill="auto"/>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1个</w:t>
            </w:r>
          </w:p>
        </w:tc>
        <w:tc>
          <w:tcPr>
            <w:tcW w:w="6379" w:type="dxa"/>
            <w:shd w:val="clear" w:color="auto" w:fill="auto"/>
          </w:tcPr>
          <w:p>
            <w:pPr>
              <w:spacing w:line="360" w:lineRule="auto"/>
              <w:jc w:val="center"/>
              <w:rPr>
                <w:rFonts w:ascii="宋体" w:hAnsi="宋体"/>
                <w:color w:val="auto"/>
                <w:sz w:val="24"/>
                <w:highlight w:val="none"/>
              </w:rPr>
            </w:pPr>
            <w:r>
              <w:rPr>
                <w:rFonts w:hint="eastAsia" w:ascii="宋体" w:hAnsi="宋体"/>
                <w:color w:val="auto"/>
                <w:sz w:val="24"/>
                <w:highlight w:val="none"/>
              </w:rPr>
              <w:t>提供订购该数据库集团用户的所有期刊的在学校IP段内的全年度访问权限；访问资源无并发用户数限制；IP下载异常时，只可暂停该IP段访问权利，不得停止全校使用权限</w:t>
            </w:r>
          </w:p>
        </w:tc>
      </w:tr>
    </w:tbl>
    <w:p>
      <w:pPr>
        <w:spacing w:line="360" w:lineRule="auto"/>
        <w:rPr>
          <w:rFonts w:ascii="宋体" w:hAnsi="宋体"/>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（二）详细技术参数及规格要求：</w:t>
      </w:r>
    </w:p>
    <w:tbl>
      <w:tblPr>
        <w:tblStyle w:val="2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1424"/>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shd w:val="clear" w:color="auto" w:fill="auto"/>
          </w:tcPr>
          <w:p>
            <w:pPr>
              <w:spacing w:line="360" w:lineRule="auto"/>
              <w:jc w:val="center"/>
              <w:rPr>
                <w:rFonts w:ascii="宋体" w:hAnsi="宋体"/>
                <w:b/>
                <w:color w:val="auto"/>
                <w:sz w:val="24"/>
                <w:highlight w:val="none"/>
              </w:rPr>
            </w:pPr>
            <w:r>
              <w:rPr>
                <w:rFonts w:hint="eastAsia" w:ascii="宋体" w:hAnsi="宋体"/>
                <w:b/>
                <w:color w:val="auto"/>
                <w:sz w:val="24"/>
                <w:highlight w:val="none"/>
              </w:rPr>
              <w:t>序号</w:t>
            </w:r>
          </w:p>
        </w:tc>
        <w:tc>
          <w:tcPr>
            <w:tcW w:w="1424" w:type="dxa"/>
            <w:shd w:val="clear" w:color="auto" w:fill="auto"/>
          </w:tcPr>
          <w:p>
            <w:pPr>
              <w:spacing w:line="360" w:lineRule="auto"/>
              <w:jc w:val="center"/>
              <w:rPr>
                <w:rFonts w:ascii="宋体" w:hAnsi="宋体"/>
                <w:b/>
                <w:color w:val="auto"/>
                <w:sz w:val="24"/>
                <w:highlight w:val="none"/>
              </w:rPr>
            </w:pPr>
            <w:r>
              <w:rPr>
                <w:rFonts w:hint="eastAsia" w:ascii="宋体" w:hAnsi="宋体"/>
                <w:b/>
                <w:color w:val="auto"/>
                <w:sz w:val="24"/>
                <w:highlight w:val="none"/>
              </w:rPr>
              <w:t>参数及规格</w:t>
            </w:r>
          </w:p>
        </w:tc>
        <w:tc>
          <w:tcPr>
            <w:tcW w:w="7088" w:type="dxa"/>
            <w:shd w:val="clear" w:color="auto" w:fill="auto"/>
          </w:tcPr>
          <w:p>
            <w:pPr>
              <w:spacing w:line="360" w:lineRule="auto"/>
              <w:jc w:val="center"/>
              <w:rPr>
                <w:rFonts w:ascii="宋体" w:hAnsi="宋体"/>
                <w:b/>
                <w:color w:val="auto"/>
                <w:sz w:val="24"/>
                <w:highlight w:val="none"/>
              </w:rPr>
            </w:pPr>
            <w:r>
              <w:rPr>
                <w:rFonts w:hint="eastAsia" w:ascii="宋体" w:hAnsi="宋体"/>
                <w:b/>
                <w:color w:val="auto"/>
                <w:sz w:val="24"/>
                <w:highlight w:val="none"/>
              </w:rPr>
              <w:t>详细要求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9" w:type="dxa"/>
            <w:shd w:val="clear" w:color="auto" w:fill="auto"/>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w:t>
            </w:r>
          </w:p>
        </w:tc>
        <w:tc>
          <w:tcPr>
            <w:tcW w:w="1424" w:type="dxa"/>
            <w:shd w:val="clear" w:color="auto" w:fill="auto"/>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IEL数据库</w:t>
            </w:r>
          </w:p>
        </w:tc>
        <w:tc>
          <w:tcPr>
            <w:tcW w:w="7088" w:type="dxa"/>
            <w:shd w:val="clear" w:color="auto" w:fill="auto"/>
          </w:tcPr>
          <w:p>
            <w:pPr>
              <w:spacing w:line="360" w:lineRule="auto"/>
              <w:jc w:val="left"/>
              <w:rPr>
                <w:rFonts w:ascii="宋体" w:hAnsi="宋体"/>
                <w:b/>
                <w:bCs/>
                <w:color w:val="auto"/>
                <w:sz w:val="24"/>
                <w:highlight w:val="none"/>
              </w:rPr>
            </w:pPr>
            <w:r>
              <w:rPr>
                <w:rFonts w:hint="eastAsia" w:ascii="宋体" w:hAnsi="宋体"/>
                <w:b/>
                <w:bCs/>
                <w:color w:val="auto"/>
                <w:sz w:val="24"/>
                <w:highlight w:val="none"/>
              </w:rPr>
              <w:t>★1、本产品订购期两年：</w:t>
            </w:r>
          </w:p>
          <w:p>
            <w:pPr>
              <w:spacing w:line="360" w:lineRule="auto"/>
              <w:jc w:val="left"/>
              <w:rPr>
                <w:rFonts w:ascii="宋体" w:hAnsi="宋体"/>
                <w:b/>
                <w:bCs/>
                <w:color w:val="auto"/>
                <w:sz w:val="24"/>
                <w:highlight w:val="none"/>
              </w:rPr>
            </w:pPr>
            <w:r>
              <w:rPr>
                <w:rFonts w:ascii="宋体" w:hAnsi="宋体"/>
                <w:color w:val="auto"/>
                <w:sz w:val="24"/>
                <w:highlight w:val="none"/>
              </w:rPr>
              <w:t>2022</w:t>
            </w:r>
            <w:r>
              <w:rPr>
                <w:rFonts w:hint="eastAsia" w:ascii="宋体" w:hAnsi="宋体"/>
                <w:color w:val="auto"/>
                <w:sz w:val="24"/>
                <w:highlight w:val="none"/>
              </w:rPr>
              <w:t>年度报价：不得超过</w:t>
            </w:r>
            <w:r>
              <w:rPr>
                <w:rFonts w:ascii="宋体" w:hAnsi="宋体"/>
                <w:color w:val="auto"/>
                <w:sz w:val="24"/>
                <w:highlight w:val="none"/>
              </w:rPr>
              <w:t>2022</w:t>
            </w:r>
            <w:r>
              <w:rPr>
                <w:rFonts w:hint="eastAsia" w:ascii="宋体" w:hAnsi="宋体"/>
                <w:color w:val="auto"/>
                <w:sz w:val="24"/>
                <w:highlight w:val="none"/>
              </w:rPr>
              <w:t>年度预算金额（即8</w:t>
            </w:r>
            <w:r>
              <w:rPr>
                <w:rFonts w:ascii="宋体" w:hAnsi="宋体"/>
                <w:color w:val="auto"/>
                <w:sz w:val="24"/>
                <w:highlight w:val="none"/>
              </w:rPr>
              <w:t>1027.99</w:t>
            </w:r>
            <w:r>
              <w:rPr>
                <w:rFonts w:hint="eastAsia" w:ascii="宋体" w:hAnsi="宋体"/>
                <w:color w:val="auto"/>
                <w:sz w:val="24"/>
                <w:highlight w:val="none"/>
              </w:rPr>
              <w:t>美元，含所有费用）；</w:t>
            </w:r>
            <w:r>
              <w:rPr>
                <w:rFonts w:ascii="宋体" w:hAnsi="宋体"/>
                <w:color w:val="auto"/>
                <w:sz w:val="24"/>
                <w:highlight w:val="none"/>
              </w:rPr>
              <w:t>2023</w:t>
            </w:r>
            <w:r>
              <w:rPr>
                <w:rFonts w:hint="eastAsia" w:ascii="宋体" w:hAnsi="宋体"/>
                <w:color w:val="auto"/>
                <w:sz w:val="24"/>
                <w:highlight w:val="none"/>
              </w:rPr>
              <w:t>年度报价：不得超过该库</w:t>
            </w:r>
            <w:r>
              <w:rPr>
                <w:rFonts w:ascii="宋体" w:hAnsi="宋体"/>
                <w:color w:val="auto"/>
                <w:sz w:val="24"/>
                <w:highlight w:val="none"/>
              </w:rPr>
              <w:t>DRAA</w:t>
            </w:r>
            <w:r>
              <w:rPr>
                <w:rFonts w:hint="eastAsia" w:ascii="宋体" w:hAnsi="宋体"/>
                <w:color w:val="auto"/>
                <w:sz w:val="24"/>
                <w:highlight w:val="none"/>
              </w:rPr>
              <w:t>当年谈判价*</w:t>
            </w:r>
            <w:r>
              <w:rPr>
                <w:rFonts w:ascii="宋体" w:hAnsi="宋体"/>
                <w:color w:val="auto"/>
                <w:sz w:val="24"/>
                <w:highlight w:val="none"/>
              </w:rPr>
              <w:t>1.014</w:t>
            </w:r>
            <w:r>
              <w:rPr>
                <w:rFonts w:hint="eastAsia" w:ascii="宋体" w:hAnsi="宋体"/>
                <w:color w:val="auto"/>
                <w:sz w:val="24"/>
                <w:highlight w:val="none"/>
              </w:rPr>
              <w:t>（含所有费用）。</w:t>
            </w:r>
          </w:p>
          <w:p>
            <w:pPr>
              <w:spacing w:line="360" w:lineRule="auto"/>
              <w:jc w:val="left"/>
              <w:rPr>
                <w:rFonts w:ascii="宋体" w:hAnsi="宋体"/>
                <w:b/>
                <w:bCs/>
                <w:color w:val="auto"/>
                <w:sz w:val="24"/>
                <w:highlight w:val="none"/>
              </w:rPr>
            </w:pPr>
            <w:r>
              <w:rPr>
                <w:rFonts w:ascii="宋体" w:hAnsi="宋体"/>
                <w:b/>
                <w:bCs/>
                <w:color w:val="auto"/>
                <w:sz w:val="24"/>
                <w:highlight w:val="none"/>
              </w:rPr>
              <w:t>2</w:t>
            </w:r>
            <w:r>
              <w:rPr>
                <w:rFonts w:hint="eastAsia" w:ascii="宋体" w:hAnsi="宋体"/>
                <w:b/>
                <w:bCs/>
                <w:color w:val="auto"/>
                <w:sz w:val="24"/>
                <w:highlight w:val="none"/>
              </w:rPr>
              <w:t>、</w:t>
            </w:r>
            <w:r>
              <w:rPr>
                <w:rFonts w:ascii="宋体" w:hAnsi="宋体"/>
                <w:b/>
                <w:bCs/>
                <w:color w:val="auto"/>
                <w:sz w:val="24"/>
                <w:highlight w:val="none"/>
              </w:rPr>
              <w:t>IEL数据库(IEEE/IET Electronic Library)</w:t>
            </w:r>
            <w:r>
              <w:rPr>
                <w:rFonts w:hint="eastAsia" w:ascii="宋体" w:hAnsi="宋体"/>
                <w:b/>
                <w:bCs/>
                <w:color w:val="auto"/>
                <w:sz w:val="24"/>
                <w:highlight w:val="none"/>
              </w:rPr>
              <w:t>简介：</w:t>
            </w:r>
          </w:p>
          <w:p>
            <w:pPr>
              <w:spacing w:line="360" w:lineRule="auto"/>
              <w:jc w:val="left"/>
              <w:rPr>
                <w:rFonts w:ascii="宋体" w:hAnsi="宋体"/>
                <w:color w:val="auto"/>
                <w:sz w:val="24"/>
                <w:highlight w:val="none"/>
              </w:rPr>
            </w:pPr>
            <w:r>
              <w:rPr>
                <w:rFonts w:ascii="宋体" w:hAnsi="宋体"/>
                <w:color w:val="auto"/>
                <w:sz w:val="24"/>
                <w:highlight w:val="none"/>
              </w:rPr>
              <w:t>是IEEE旗下最完整的在线数据资源，它提供了当今世界在电气工程、通信工程和计算机科学领域中，近三分之一文献，并在多个学科领域引用量名列前茅。IEL数据库内容包含：</w:t>
            </w:r>
          </w:p>
          <w:p>
            <w:pPr>
              <w:pStyle w:val="55"/>
              <w:numPr>
                <w:ilvl w:val="0"/>
                <w:numId w:val="11"/>
              </w:numPr>
              <w:spacing w:line="360" w:lineRule="auto"/>
              <w:ind w:firstLineChars="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9</w:t>
            </w:r>
            <w:r>
              <w:rPr>
                <w:rFonts w:ascii="宋体" w:hAnsi="宋体"/>
                <w:color w:val="auto"/>
                <w:sz w:val="24"/>
                <w:szCs w:val="24"/>
                <w:highlight w:val="none"/>
              </w:rPr>
              <w:t>0种IEEE的期刊、会刊与杂志</w:t>
            </w:r>
          </w:p>
          <w:p>
            <w:pPr>
              <w:pStyle w:val="55"/>
              <w:numPr>
                <w:ilvl w:val="0"/>
                <w:numId w:val="11"/>
              </w:numPr>
              <w:spacing w:line="360" w:lineRule="auto"/>
              <w:ind w:firstLineChars="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0+种IET的期刊</w:t>
            </w:r>
            <w:r>
              <w:rPr>
                <w:rFonts w:hint="eastAsia" w:ascii="宋体" w:hAnsi="宋体"/>
                <w:color w:val="auto"/>
                <w:sz w:val="24"/>
                <w:szCs w:val="24"/>
                <w:highlight w:val="none"/>
              </w:rPr>
              <w:t>、杂志</w:t>
            </w:r>
          </w:p>
          <w:p>
            <w:pPr>
              <w:pStyle w:val="55"/>
              <w:numPr>
                <w:ilvl w:val="0"/>
                <w:numId w:val="11"/>
              </w:numPr>
              <w:spacing w:line="360" w:lineRule="auto"/>
              <w:ind w:firstLineChars="0"/>
              <w:rPr>
                <w:rFonts w:ascii="宋体" w:hAnsi="宋体"/>
                <w:color w:val="auto"/>
                <w:sz w:val="24"/>
                <w:szCs w:val="24"/>
                <w:highlight w:val="none"/>
              </w:rPr>
            </w:pPr>
            <w:r>
              <w:rPr>
                <w:rFonts w:hint="eastAsia" w:ascii="宋体" w:hAnsi="宋体"/>
                <w:color w:val="auto"/>
                <w:sz w:val="24"/>
                <w:szCs w:val="24"/>
                <w:highlight w:val="none"/>
              </w:rPr>
              <w:t>1种BLTJ期刊（贝尔实验室期刊）</w:t>
            </w:r>
          </w:p>
          <w:p>
            <w:pPr>
              <w:pStyle w:val="55"/>
              <w:numPr>
                <w:ilvl w:val="0"/>
                <w:numId w:val="11"/>
              </w:numPr>
              <w:spacing w:line="360" w:lineRule="auto"/>
              <w:ind w:firstLineChars="0"/>
              <w:rPr>
                <w:rFonts w:ascii="宋体" w:hAnsi="宋体"/>
                <w:color w:val="auto"/>
                <w:sz w:val="24"/>
                <w:szCs w:val="24"/>
                <w:highlight w:val="none"/>
              </w:rPr>
            </w:pPr>
            <w:r>
              <w:rPr>
                <w:rFonts w:ascii="宋体" w:hAnsi="宋体"/>
                <w:color w:val="auto"/>
                <w:sz w:val="24"/>
                <w:szCs w:val="24"/>
                <w:highlight w:val="none"/>
              </w:rPr>
              <w:t>每年超过1</w:t>
            </w:r>
            <w:r>
              <w:rPr>
                <w:rFonts w:hint="eastAsia" w:ascii="宋体" w:hAnsi="宋体"/>
                <w:color w:val="auto"/>
                <w:sz w:val="24"/>
                <w:szCs w:val="24"/>
                <w:highlight w:val="none"/>
              </w:rPr>
              <w:t>700</w:t>
            </w:r>
            <w:r>
              <w:rPr>
                <w:rFonts w:ascii="宋体" w:hAnsi="宋体"/>
                <w:color w:val="auto"/>
                <w:sz w:val="24"/>
                <w:szCs w:val="24"/>
                <w:highlight w:val="none"/>
              </w:rPr>
              <w:t>种 IEEE的会议录</w:t>
            </w:r>
          </w:p>
          <w:p>
            <w:pPr>
              <w:pStyle w:val="55"/>
              <w:numPr>
                <w:ilvl w:val="0"/>
                <w:numId w:val="11"/>
              </w:numPr>
              <w:spacing w:line="360" w:lineRule="auto"/>
              <w:ind w:firstLineChars="0"/>
              <w:rPr>
                <w:rFonts w:ascii="宋体" w:hAnsi="宋体"/>
                <w:color w:val="auto"/>
                <w:sz w:val="24"/>
                <w:szCs w:val="24"/>
                <w:highlight w:val="none"/>
              </w:rPr>
            </w:pPr>
            <w:r>
              <w:rPr>
                <w:rFonts w:ascii="宋体" w:hAnsi="宋体"/>
                <w:color w:val="auto"/>
                <w:sz w:val="24"/>
                <w:szCs w:val="24"/>
                <w:highlight w:val="none"/>
              </w:rPr>
              <w:t>每年20+种IET</w:t>
            </w:r>
            <w:r>
              <w:rPr>
                <w:rFonts w:hint="eastAsia" w:ascii="宋体" w:hAnsi="宋体"/>
                <w:color w:val="auto"/>
                <w:sz w:val="24"/>
                <w:szCs w:val="24"/>
                <w:highlight w:val="none"/>
              </w:rPr>
              <w:t>/VDE</w:t>
            </w:r>
            <w:r>
              <w:rPr>
                <w:rFonts w:ascii="宋体" w:hAnsi="宋体"/>
                <w:color w:val="auto"/>
                <w:sz w:val="24"/>
                <w:szCs w:val="24"/>
                <w:highlight w:val="none"/>
              </w:rPr>
              <w:t>会议录</w:t>
            </w:r>
          </w:p>
          <w:p>
            <w:pPr>
              <w:pStyle w:val="55"/>
              <w:numPr>
                <w:ilvl w:val="0"/>
                <w:numId w:val="11"/>
              </w:numPr>
              <w:spacing w:line="360" w:lineRule="auto"/>
              <w:ind w:firstLineChars="0"/>
              <w:rPr>
                <w:rFonts w:ascii="宋体" w:hAnsi="宋体"/>
                <w:color w:val="auto"/>
                <w:sz w:val="24"/>
                <w:szCs w:val="24"/>
                <w:highlight w:val="none"/>
              </w:rPr>
            </w:pPr>
            <w:r>
              <w:rPr>
                <w:rFonts w:ascii="宋体" w:hAnsi="宋体"/>
                <w:color w:val="auto"/>
                <w:sz w:val="24"/>
                <w:szCs w:val="24"/>
                <w:highlight w:val="none"/>
              </w:rPr>
              <w:t>超过</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9</w:t>
            </w:r>
            <w:r>
              <w:rPr>
                <w:rFonts w:ascii="宋体" w:hAnsi="宋体"/>
                <w:color w:val="auto"/>
                <w:sz w:val="24"/>
                <w:szCs w:val="24"/>
                <w:highlight w:val="none"/>
              </w:rPr>
              <w:t>00种IEEE现行、存档标准</w:t>
            </w:r>
          </w:p>
          <w:p>
            <w:pPr>
              <w:pStyle w:val="55"/>
              <w:numPr>
                <w:ilvl w:val="0"/>
                <w:numId w:val="11"/>
              </w:numPr>
              <w:spacing w:line="360" w:lineRule="auto"/>
              <w:ind w:firstLineChars="0"/>
              <w:rPr>
                <w:rFonts w:ascii="宋体" w:hAnsi="宋体"/>
                <w:color w:val="auto"/>
                <w:sz w:val="24"/>
                <w:szCs w:val="24"/>
                <w:highlight w:val="none"/>
              </w:rPr>
            </w:pPr>
            <w:r>
              <w:rPr>
                <w:rFonts w:ascii="宋体" w:hAnsi="宋体"/>
                <w:color w:val="auto"/>
                <w:sz w:val="24"/>
                <w:szCs w:val="24"/>
                <w:highlight w:val="none"/>
              </w:rPr>
              <w:t>所有文献的Inspec索引目录</w:t>
            </w:r>
          </w:p>
          <w:p>
            <w:pPr>
              <w:spacing w:line="360" w:lineRule="auto"/>
              <w:rPr>
                <w:rFonts w:ascii="宋体" w:hAnsi="宋体"/>
                <w:color w:val="auto"/>
                <w:sz w:val="24"/>
                <w:highlight w:val="none"/>
              </w:rPr>
            </w:pPr>
            <w:r>
              <w:rPr>
                <w:rFonts w:hint="eastAsia" w:ascii="宋体" w:hAnsi="宋体"/>
                <w:color w:val="auto"/>
                <w:sz w:val="24"/>
                <w:highlight w:val="none"/>
              </w:rPr>
              <w:t>3、付费期限一般在每年5－6月份完成，供应商或代理商任何一方不得无故和无正式通知而终止服务；</w:t>
            </w:r>
          </w:p>
          <w:p>
            <w:pPr>
              <w:spacing w:line="360" w:lineRule="auto"/>
              <w:rPr>
                <w:rFonts w:ascii="宋体" w:hAnsi="宋体"/>
                <w:color w:val="auto"/>
                <w:sz w:val="24"/>
                <w:highlight w:val="none"/>
              </w:rPr>
            </w:pPr>
            <w:r>
              <w:rPr>
                <w:rFonts w:hint="eastAsia" w:ascii="宋体" w:hAnsi="宋体"/>
                <w:color w:val="auto"/>
                <w:sz w:val="24"/>
                <w:highlight w:val="none"/>
              </w:rPr>
              <w:t>4、电子期刊内容同步更新。</w:t>
            </w:r>
          </w:p>
        </w:tc>
      </w:tr>
    </w:tbl>
    <w:p>
      <w:pPr>
        <w:spacing w:line="360" w:lineRule="auto"/>
        <w:rPr>
          <w:color w:val="auto"/>
          <w:highlight w:val="none"/>
        </w:rPr>
      </w:pPr>
      <w:r>
        <w:rPr>
          <w:rFonts w:ascii="宋体" w:hAnsi="宋体"/>
          <w:color w:val="auto"/>
          <w:sz w:val="24"/>
          <w:highlight w:val="none"/>
        </w:rPr>
        <w:br w:type="page"/>
      </w:r>
      <w:bookmarkStart w:id="265" w:name="_Toc534807404"/>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jc w:val="center"/>
        <w:rPr>
          <w:rFonts w:hAnsi="宋体"/>
          <w:b/>
          <w:bCs/>
          <w:color w:val="auto"/>
          <w:sz w:val="44"/>
          <w:szCs w:val="44"/>
          <w:highlight w:val="none"/>
        </w:rPr>
      </w:pPr>
      <w:r>
        <w:rPr>
          <w:rFonts w:hint="eastAsia" w:hAnsi="宋体"/>
          <w:b/>
          <w:bCs/>
          <w:color w:val="auto"/>
          <w:sz w:val="44"/>
          <w:szCs w:val="44"/>
          <w:highlight w:val="none"/>
        </w:rPr>
        <w:t>第六章  附件——报价文件格式</w:t>
      </w:r>
      <w:bookmarkEnd w:id="265"/>
    </w:p>
    <w:p>
      <w:pPr>
        <w:widowControl/>
        <w:jc w:val="left"/>
        <w:rPr>
          <w:rFonts w:ascii="宋体" w:hAnsi="宋体" w:cs="宋体"/>
          <w:b/>
          <w:color w:val="auto"/>
          <w:kern w:val="44"/>
          <w:sz w:val="44"/>
          <w:szCs w:val="44"/>
          <w:highlight w:val="none"/>
        </w:rPr>
      </w:pPr>
      <w:r>
        <w:rPr>
          <w:rFonts w:hAnsi="宋体"/>
          <w:color w:val="auto"/>
          <w:sz w:val="44"/>
          <w:szCs w:val="44"/>
          <w:highlight w:val="none"/>
        </w:rPr>
        <w:br w:type="page"/>
      </w:r>
    </w:p>
    <w:p>
      <w:pPr>
        <w:pStyle w:val="3"/>
        <w:tabs>
          <w:tab w:val="left" w:pos="5580"/>
        </w:tabs>
        <w:spacing w:before="0" w:line="360" w:lineRule="auto"/>
        <w:rPr>
          <w:rFonts w:ascii="宋体" w:hAnsi="宋体" w:eastAsia="宋体"/>
          <w:color w:val="auto"/>
          <w:sz w:val="32"/>
          <w:szCs w:val="32"/>
          <w:highlight w:val="none"/>
        </w:rPr>
      </w:pPr>
      <w:bookmarkStart w:id="266" w:name="_Toc480942349"/>
      <w:bookmarkStart w:id="267" w:name="_Ref467988698"/>
      <w:bookmarkStart w:id="268" w:name="_Toc520356217"/>
      <w:bookmarkStart w:id="269" w:name="_Toc434916154"/>
      <w:bookmarkStart w:id="270" w:name="_Toc292886224"/>
      <w:bookmarkStart w:id="271" w:name="_Toc292886384"/>
      <w:bookmarkStart w:id="272" w:name="_Toc367205276"/>
      <w:r>
        <w:rPr>
          <w:rFonts w:hint="eastAsia" w:ascii="宋体" w:hAnsi="宋体" w:eastAsia="宋体"/>
          <w:color w:val="auto"/>
          <w:sz w:val="32"/>
          <w:szCs w:val="32"/>
          <w:highlight w:val="none"/>
        </w:rPr>
        <w:t>附件1</w:t>
      </w:r>
      <w:r>
        <w:rPr>
          <w:rFonts w:ascii="宋体" w:hAnsi="宋体" w:eastAsia="宋体"/>
          <w:color w:val="auto"/>
          <w:sz w:val="32"/>
          <w:szCs w:val="32"/>
          <w:highlight w:val="none"/>
        </w:rPr>
        <w:t xml:space="preserve">  </w:t>
      </w:r>
      <w:r>
        <w:rPr>
          <w:rFonts w:hint="eastAsia" w:ascii="宋体" w:hAnsi="宋体" w:eastAsia="宋体"/>
          <w:color w:val="auto"/>
          <w:sz w:val="32"/>
          <w:szCs w:val="32"/>
          <w:highlight w:val="none"/>
        </w:rPr>
        <w:t>报价</w:t>
      </w:r>
      <w:bookmarkEnd w:id="266"/>
      <w:bookmarkEnd w:id="267"/>
      <w:r>
        <w:rPr>
          <w:rFonts w:hint="eastAsia" w:ascii="宋体" w:hAnsi="宋体" w:eastAsia="宋体"/>
          <w:color w:val="auto"/>
          <w:sz w:val="32"/>
          <w:szCs w:val="32"/>
          <w:highlight w:val="none"/>
        </w:rPr>
        <w:t>书</w:t>
      </w:r>
      <w:bookmarkEnd w:id="268"/>
      <w:r>
        <w:rPr>
          <w:rFonts w:hint="eastAsia" w:ascii="宋体" w:hAnsi="宋体" w:eastAsia="宋体"/>
          <w:color w:val="auto"/>
          <w:sz w:val="32"/>
          <w:szCs w:val="32"/>
          <w:highlight w:val="none"/>
        </w:rPr>
        <w:t>（格式）</w:t>
      </w:r>
      <w:bookmarkEnd w:id="269"/>
      <w:bookmarkEnd w:id="270"/>
      <w:bookmarkEnd w:id="271"/>
      <w:bookmarkEnd w:id="272"/>
    </w:p>
    <w:p>
      <w:pPr>
        <w:tabs>
          <w:tab w:val="left" w:pos="5580"/>
        </w:tabs>
        <w:spacing w:line="360" w:lineRule="auto"/>
        <w:rPr>
          <w:rFonts w:ascii="宋体" w:hAnsi="宋体"/>
          <w:color w:val="auto"/>
          <w:sz w:val="24"/>
          <w:highlight w:val="none"/>
        </w:rPr>
      </w:pPr>
    </w:p>
    <w:p>
      <w:pPr>
        <w:tabs>
          <w:tab w:val="left" w:pos="5580"/>
        </w:tabs>
        <w:spacing w:line="360" w:lineRule="auto"/>
        <w:rPr>
          <w:rFonts w:ascii="宋体" w:hAnsi="宋体"/>
          <w:color w:val="auto"/>
          <w:sz w:val="24"/>
          <w:szCs w:val="20"/>
          <w:highlight w:val="none"/>
        </w:rPr>
      </w:pPr>
      <w:r>
        <w:rPr>
          <w:rFonts w:hint="eastAsia" w:ascii="宋体" w:hAnsi="宋体"/>
          <w:color w:val="auto"/>
          <w:sz w:val="24"/>
          <w:szCs w:val="20"/>
          <w:highlight w:val="none"/>
        </w:rPr>
        <w:t>致：南京农业大学</w:t>
      </w:r>
    </w:p>
    <w:p>
      <w:pPr>
        <w:pStyle w:val="13"/>
        <w:tabs>
          <w:tab w:val="left" w:pos="5580"/>
        </w:tabs>
        <w:spacing w:line="360" w:lineRule="auto"/>
        <w:rPr>
          <w:rFonts w:hAnsi="宋体"/>
          <w:color w:val="auto"/>
          <w:sz w:val="24"/>
          <w:highlight w:val="none"/>
        </w:rPr>
      </w:pPr>
    </w:p>
    <w:p>
      <w:pPr>
        <w:pStyle w:val="13"/>
        <w:tabs>
          <w:tab w:val="left" w:pos="5580"/>
        </w:tabs>
        <w:spacing w:line="360" w:lineRule="auto"/>
        <w:ind w:firstLine="408"/>
        <w:rPr>
          <w:rFonts w:hAnsi="宋体"/>
          <w:color w:val="auto"/>
          <w:sz w:val="24"/>
          <w:highlight w:val="none"/>
        </w:rPr>
      </w:pPr>
      <w:r>
        <w:rPr>
          <w:rFonts w:hint="eastAsia" w:hAnsi="宋体"/>
          <w:color w:val="auto"/>
          <w:sz w:val="24"/>
          <w:highlight w:val="none"/>
        </w:rPr>
        <w:t>根据贵方为(</w:t>
      </w:r>
      <w:r>
        <w:rPr>
          <w:rFonts w:hint="eastAsia" w:hAnsi="宋体"/>
          <w:color w:val="auto"/>
          <w:sz w:val="24"/>
          <w:highlight w:val="none"/>
          <w:u w:val="single"/>
        </w:rPr>
        <w:t>项目名称</w:t>
      </w:r>
      <w:r>
        <w:rPr>
          <w:rFonts w:hint="eastAsia" w:hAnsi="宋体"/>
          <w:color w:val="auto"/>
          <w:sz w:val="24"/>
          <w:highlight w:val="none"/>
        </w:rPr>
        <w:t>)项目采购货物/服务的报价邀请(</w:t>
      </w:r>
      <w:r>
        <w:rPr>
          <w:rFonts w:hint="eastAsia" w:hAnsi="宋体"/>
          <w:color w:val="auto"/>
          <w:sz w:val="24"/>
          <w:highlight w:val="none"/>
          <w:u w:val="single"/>
        </w:rPr>
        <w:t>采购编号</w:t>
      </w:r>
      <w:r>
        <w:rPr>
          <w:rFonts w:hint="eastAsia" w:hAnsi="宋体"/>
          <w:color w:val="auto"/>
          <w:sz w:val="24"/>
          <w:highlight w:val="none"/>
        </w:rPr>
        <w:t>),签字代表(</w:t>
      </w:r>
      <w:r>
        <w:rPr>
          <w:rFonts w:hint="eastAsia" w:hAnsi="宋体"/>
          <w:color w:val="auto"/>
          <w:sz w:val="24"/>
          <w:highlight w:val="none"/>
          <w:u w:val="single"/>
        </w:rPr>
        <w:t>姓名、职务</w:t>
      </w:r>
      <w:r>
        <w:rPr>
          <w:rFonts w:hint="eastAsia" w:hAnsi="宋体"/>
          <w:color w:val="auto"/>
          <w:sz w:val="24"/>
          <w:highlight w:val="none"/>
        </w:rPr>
        <w:t>)经正式授权并代表单一来源供应商（</w:t>
      </w:r>
      <w:r>
        <w:rPr>
          <w:rFonts w:hint="eastAsia" w:hAnsi="宋体"/>
          <w:color w:val="auto"/>
          <w:sz w:val="24"/>
          <w:highlight w:val="none"/>
          <w:u w:val="single"/>
        </w:rPr>
        <w:t>单一来源供应商名称、地址</w:t>
      </w:r>
      <w:r>
        <w:rPr>
          <w:rFonts w:hint="eastAsia" w:hAnsi="宋体"/>
          <w:color w:val="auto"/>
          <w:sz w:val="24"/>
          <w:highlight w:val="none"/>
        </w:rPr>
        <w:t>）提交下述文件正本一份及副本</w:t>
      </w:r>
      <w:r>
        <w:rPr>
          <w:rFonts w:hint="eastAsia" w:hAnsi="宋体"/>
          <w:color w:val="auto"/>
          <w:sz w:val="24"/>
          <w:highlight w:val="none"/>
          <w:u w:val="single"/>
        </w:rPr>
        <w:t>___</w:t>
      </w:r>
      <w:r>
        <w:rPr>
          <w:rFonts w:hint="eastAsia" w:hAnsi="宋体"/>
          <w:color w:val="auto"/>
          <w:sz w:val="24"/>
          <w:highlight w:val="none"/>
        </w:rPr>
        <w:t>份</w:t>
      </w:r>
      <w:r>
        <w:rPr>
          <w:rFonts w:hint="eastAsia" w:hAnsi="宋体"/>
          <w:color w:val="auto"/>
          <w:sz w:val="24"/>
          <w:szCs w:val="24"/>
          <w:highlight w:val="none"/>
        </w:rPr>
        <w:t>及电子文件</w:t>
      </w:r>
      <w:r>
        <w:rPr>
          <w:rFonts w:hint="eastAsia" w:hAnsi="宋体"/>
          <w:color w:val="auto"/>
          <w:sz w:val="24"/>
          <w:szCs w:val="24"/>
          <w:highlight w:val="none"/>
          <w:u w:val="single"/>
        </w:rPr>
        <w:t xml:space="preserve">   </w:t>
      </w:r>
      <w:r>
        <w:rPr>
          <w:rFonts w:hint="eastAsia" w:hAnsi="宋体"/>
          <w:color w:val="auto"/>
          <w:sz w:val="24"/>
          <w:szCs w:val="24"/>
          <w:highlight w:val="none"/>
        </w:rPr>
        <w:t>份（不退）</w:t>
      </w:r>
      <w:r>
        <w:rPr>
          <w:rFonts w:hint="eastAsia" w:hAnsi="宋体"/>
          <w:color w:val="auto"/>
          <w:sz w:val="24"/>
          <w:highlight w:val="none"/>
        </w:rPr>
        <w:t>：</w:t>
      </w:r>
    </w:p>
    <w:p>
      <w:pPr>
        <w:pStyle w:val="13"/>
        <w:tabs>
          <w:tab w:val="left" w:pos="5580"/>
        </w:tabs>
        <w:spacing w:line="360" w:lineRule="auto"/>
        <w:ind w:left="408"/>
        <w:rPr>
          <w:rFonts w:hAnsi="宋体"/>
          <w:color w:val="auto"/>
          <w:sz w:val="24"/>
          <w:highlight w:val="none"/>
        </w:rPr>
      </w:pPr>
      <w:r>
        <w:rPr>
          <w:rFonts w:hint="eastAsia" w:hAnsi="宋体"/>
          <w:color w:val="auto"/>
          <w:sz w:val="24"/>
          <w:highlight w:val="none"/>
        </w:rPr>
        <w:t>1.报价一览表</w:t>
      </w:r>
    </w:p>
    <w:p>
      <w:pPr>
        <w:pStyle w:val="13"/>
        <w:tabs>
          <w:tab w:val="left" w:pos="5580"/>
        </w:tabs>
        <w:spacing w:line="360" w:lineRule="auto"/>
        <w:ind w:left="408"/>
        <w:rPr>
          <w:rFonts w:hAnsi="宋体"/>
          <w:color w:val="auto"/>
          <w:sz w:val="24"/>
          <w:highlight w:val="none"/>
        </w:rPr>
      </w:pPr>
      <w:r>
        <w:rPr>
          <w:rFonts w:hint="eastAsia" w:hAnsi="宋体"/>
          <w:color w:val="auto"/>
          <w:sz w:val="24"/>
          <w:highlight w:val="none"/>
        </w:rPr>
        <w:t>2.分项报价表</w:t>
      </w:r>
    </w:p>
    <w:p>
      <w:pPr>
        <w:pStyle w:val="13"/>
        <w:tabs>
          <w:tab w:val="left" w:pos="5580"/>
        </w:tabs>
        <w:spacing w:line="360" w:lineRule="auto"/>
        <w:ind w:left="408"/>
        <w:rPr>
          <w:rFonts w:hAnsi="宋体"/>
          <w:color w:val="auto"/>
          <w:sz w:val="24"/>
          <w:highlight w:val="none"/>
        </w:rPr>
      </w:pPr>
      <w:r>
        <w:rPr>
          <w:rFonts w:hAnsi="宋体"/>
          <w:color w:val="auto"/>
          <w:sz w:val="24"/>
          <w:highlight w:val="none"/>
        </w:rPr>
        <w:t>3</w:t>
      </w:r>
      <w:r>
        <w:rPr>
          <w:rFonts w:hint="eastAsia" w:hAnsi="宋体"/>
          <w:color w:val="auto"/>
          <w:sz w:val="24"/>
          <w:highlight w:val="none"/>
        </w:rPr>
        <w:t>.资格证明文件</w:t>
      </w:r>
    </w:p>
    <w:p>
      <w:pPr>
        <w:pStyle w:val="13"/>
        <w:tabs>
          <w:tab w:val="left" w:pos="5580"/>
        </w:tabs>
        <w:spacing w:line="360" w:lineRule="auto"/>
        <w:ind w:left="408"/>
        <w:rPr>
          <w:rFonts w:hAnsi="宋体"/>
          <w:color w:val="auto"/>
          <w:sz w:val="24"/>
          <w:highlight w:val="none"/>
        </w:rPr>
      </w:pPr>
      <w:r>
        <w:rPr>
          <w:rFonts w:hAnsi="宋体"/>
          <w:color w:val="auto"/>
          <w:sz w:val="24"/>
          <w:highlight w:val="none"/>
        </w:rPr>
        <w:t>4</w:t>
      </w:r>
      <w:r>
        <w:rPr>
          <w:rFonts w:hint="eastAsia" w:hAnsi="宋体"/>
          <w:color w:val="auto"/>
          <w:sz w:val="24"/>
          <w:highlight w:val="none"/>
        </w:rPr>
        <w:t>.遵守国家有关法律、法规和规章，按采购文件中单一来源供应商须知和技术规格要求提供的有关文件，签字代表宣布同意如下：</w:t>
      </w:r>
    </w:p>
    <w:p>
      <w:pPr>
        <w:pStyle w:val="13"/>
        <w:tabs>
          <w:tab w:val="left" w:pos="5580"/>
        </w:tabs>
        <w:spacing w:line="360" w:lineRule="auto"/>
        <w:ind w:firstLine="420" w:firstLineChars="175"/>
        <w:rPr>
          <w:rFonts w:hAnsi="宋体"/>
          <w:color w:val="auto"/>
          <w:sz w:val="24"/>
          <w:highlight w:val="none"/>
        </w:rPr>
      </w:pPr>
      <w:r>
        <w:rPr>
          <w:rFonts w:hint="eastAsia" w:hAnsi="宋体"/>
          <w:color w:val="auto"/>
          <w:sz w:val="24"/>
          <w:highlight w:val="none"/>
        </w:rPr>
        <w:t>（</w:t>
      </w:r>
      <w:r>
        <w:rPr>
          <w:rFonts w:hAnsi="宋体"/>
          <w:color w:val="auto"/>
          <w:sz w:val="24"/>
          <w:highlight w:val="none"/>
        </w:rPr>
        <w:t>1</w:t>
      </w:r>
      <w:r>
        <w:rPr>
          <w:rFonts w:hint="eastAsia" w:hAnsi="宋体"/>
          <w:color w:val="auto"/>
          <w:sz w:val="24"/>
          <w:highlight w:val="none"/>
        </w:rPr>
        <w:t>）我方将按采购文件的规定履行合同责任和义务。</w:t>
      </w:r>
    </w:p>
    <w:p>
      <w:pPr>
        <w:pStyle w:val="13"/>
        <w:tabs>
          <w:tab w:val="left" w:pos="5580"/>
        </w:tabs>
        <w:spacing w:line="360" w:lineRule="auto"/>
        <w:ind w:left="540" w:leftChars="200" w:hanging="120" w:hangingChars="50"/>
        <w:rPr>
          <w:rFonts w:hAnsi="宋体"/>
          <w:color w:val="auto"/>
          <w:sz w:val="24"/>
          <w:highlight w:val="none"/>
        </w:rPr>
      </w:pPr>
      <w:r>
        <w:rPr>
          <w:rFonts w:hint="eastAsia" w:hAnsi="宋体"/>
          <w:color w:val="auto"/>
          <w:sz w:val="24"/>
          <w:highlight w:val="none"/>
        </w:rPr>
        <w:t>（</w:t>
      </w:r>
      <w:r>
        <w:rPr>
          <w:rFonts w:hAnsi="宋体"/>
          <w:color w:val="auto"/>
          <w:sz w:val="24"/>
          <w:highlight w:val="none"/>
        </w:rPr>
        <w:t>2</w:t>
      </w:r>
      <w:r>
        <w:rPr>
          <w:rFonts w:hint="eastAsia" w:hAnsi="宋体"/>
          <w:color w:val="auto"/>
          <w:sz w:val="24"/>
          <w:highlight w:val="none"/>
        </w:rPr>
        <w:t>）我方已详细审查全部采购文件，包括第</w:t>
      </w:r>
      <w:r>
        <w:rPr>
          <w:rFonts w:hint="eastAsia" w:hAnsi="宋体"/>
          <w:color w:val="auto"/>
          <w:sz w:val="24"/>
          <w:highlight w:val="none"/>
          <w:u w:val="single"/>
        </w:rPr>
        <w:t xml:space="preserve">        号（采购编号、补充通知）（如果有的话</w:t>
      </w:r>
      <w:r>
        <w:rPr>
          <w:rFonts w:hint="eastAsia" w:hAnsi="宋体"/>
          <w:color w:val="auto"/>
          <w:sz w:val="24"/>
          <w:highlight w:val="none"/>
        </w:rPr>
        <w:t>）。我们完全理解并同意放弃对这方面有不明及误解的权力。</w:t>
      </w:r>
    </w:p>
    <w:p>
      <w:pPr>
        <w:pStyle w:val="13"/>
        <w:tabs>
          <w:tab w:val="left" w:pos="5580"/>
        </w:tabs>
        <w:spacing w:line="360" w:lineRule="auto"/>
        <w:ind w:left="181" w:leftChars="86" w:firstLine="240" w:firstLineChars="100"/>
        <w:rPr>
          <w:rFonts w:hAnsi="宋体"/>
          <w:color w:val="auto"/>
          <w:sz w:val="24"/>
          <w:highlight w:val="none"/>
        </w:rPr>
      </w:pPr>
      <w:r>
        <w:rPr>
          <w:rFonts w:hint="eastAsia" w:hAnsi="宋体"/>
          <w:color w:val="auto"/>
          <w:sz w:val="24"/>
          <w:highlight w:val="none"/>
        </w:rPr>
        <w:t>（</w:t>
      </w:r>
      <w:r>
        <w:rPr>
          <w:rFonts w:hAnsi="宋体"/>
          <w:color w:val="auto"/>
          <w:sz w:val="24"/>
          <w:highlight w:val="none"/>
        </w:rPr>
        <w:t>3</w:t>
      </w:r>
      <w:r>
        <w:rPr>
          <w:rFonts w:hint="eastAsia" w:hAnsi="宋体"/>
          <w:color w:val="auto"/>
          <w:sz w:val="24"/>
          <w:highlight w:val="none"/>
        </w:rPr>
        <w:t>）本报价有效期为自报价日起</w:t>
      </w:r>
      <w:r>
        <w:rPr>
          <w:rFonts w:hint="eastAsia" w:hAnsi="宋体"/>
          <w:color w:val="auto"/>
          <w:sz w:val="24"/>
          <w:highlight w:val="none"/>
          <w:u w:val="single"/>
        </w:rPr>
        <w:t xml:space="preserve">  </w:t>
      </w:r>
      <w:r>
        <w:rPr>
          <w:rFonts w:hAnsi="宋体"/>
          <w:color w:val="auto"/>
          <w:sz w:val="24"/>
          <w:highlight w:val="none"/>
          <w:u w:val="single"/>
        </w:rPr>
        <w:t>90</w:t>
      </w:r>
      <w:r>
        <w:rPr>
          <w:rFonts w:hint="eastAsia" w:hAnsi="宋体"/>
          <w:color w:val="auto"/>
          <w:sz w:val="24"/>
          <w:highlight w:val="none"/>
          <w:u w:val="single"/>
        </w:rPr>
        <w:t xml:space="preserve">  </w:t>
      </w:r>
      <w:r>
        <w:rPr>
          <w:rFonts w:hint="eastAsia" w:hAnsi="宋体"/>
          <w:color w:val="auto"/>
          <w:sz w:val="24"/>
          <w:highlight w:val="none"/>
        </w:rPr>
        <w:t>个日历日。</w:t>
      </w:r>
    </w:p>
    <w:p>
      <w:pPr>
        <w:pStyle w:val="13"/>
        <w:tabs>
          <w:tab w:val="left" w:pos="5580"/>
        </w:tabs>
        <w:spacing w:line="360" w:lineRule="auto"/>
        <w:ind w:left="538" w:leftChars="199" w:hanging="120" w:hangingChars="50"/>
        <w:rPr>
          <w:rFonts w:hAnsi="宋体"/>
          <w:color w:val="auto"/>
          <w:sz w:val="24"/>
          <w:highlight w:val="none"/>
        </w:rPr>
      </w:pPr>
      <w:r>
        <w:rPr>
          <w:rFonts w:hint="eastAsia" w:hAnsi="宋体"/>
          <w:color w:val="auto"/>
          <w:sz w:val="24"/>
          <w:highlight w:val="none"/>
        </w:rPr>
        <w:t>（</w:t>
      </w:r>
      <w:r>
        <w:rPr>
          <w:rFonts w:hAnsi="宋体"/>
          <w:color w:val="auto"/>
          <w:sz w:val="24"/>
          <w:highlight w:val="none"/>
        </w:rPr>
        <w:t>4</w:t>
      </w:r>
      <w:r>
        <w:rPr>
          <w:rFonts w:hint="eastAsia" w:hAnsi="宋体"/>
          <w:color w:val="auto"/>
          <w:sz w:val="24"/>
          <w:highlight w:val="none"/>
        </w:rPr>
        <w:t>）我方同意提供按照贵方可能要求的与其报价有关的一切数据或资料。</w:t>
      </w:r>
    </w:p>
    <w:p>
      <w:pPr>
        <w:spacing w:line="360" w:lineRule="auto"/>
        <w:ind w:left="480"/>
        <w:jc w:val="left"/>
        <w:rPr>
          <w:rFonts w:ascii="宋体" w:hAnsi="宋体"/>
          <w:color w:val="auto"/>
          <w:sz w:val="24"/>
          <w:szCs w:val="20"/>
          <w:highlight w:val="none"/>
        </w:rPr>
      </w:pPr>
      <w:r>
        <w:rPr>
          <w:rFonts w:hint="eastAsia" w:ascii="宋体" w:hAnsi="宋体"/>
          <w:color w:val="auto"/>
          <w:sz w:val="24"/>
          <w:szCs w:val="20"/>
          <w:highlight w:val="none"/>
        </w:rPr>
        <w:t>（</w:t>
      </w:r>
      <w:r>
        <w:rPr>
          <w:rFonts w:ascii="宋体" w:hAnsi="宋体"/>
          <w:color w:val="auto"/>
          <w:sz w:val="24"/>
          <w:szCs w:val="20"/>
          <w:highlight w:val="none"/>
        </w:rPr>
        <w:t>5</w:t>
      </w:r>
      <w:r>
        <w:rPr>
          <w:rFonts w:hint="eastAsia" w:ascii="宋体" w:hAnsi="宋体"/>
          <w:color w:val="auto"/>
          <w:sz w:val="24"/>
          <w:szCs w:val="20"/>
          <w:highlight w:val="none"/>
        </w:rPr>
        <w:t>）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p>
    <w:p>
      <w:pPr>
        <w:pStyle w:val="13"/>
        <w:tabs>
          <w:tab w:val="left" w:pos="5580"/>
        </w:tabs>
        <w:spacing w:line="360" w:lineRule="auto"/>
        <w:ind w:left="180"/>
        <w:rPr>
          <w:rFonts w:hAnsi="宋体"/>
          <w:color w:val="auto"/>
          <w:sz w:val="24"/>
          <w:highlight w:val="none"/>
        </w:rPr>
      </w:pPr>
      <w:r>
        <w:rPr>
          <w:rFonts w:hAnsi="宋体"/>
          <w:color w:val="auto"/>
          <w:sz w:val="24"/>
          <w:highlight w:val="none"/>
        </w:rPr>
        <w:t>5</w:t>
      </w:r>
      <w:r>
        <w:rPr>
          <w:rFonts w:hint="eastAsia" w:hAnsi="宋体"/>
          <w:color w:val="auto"/>
          <w:sz w:val="24"/>
          <w:highlight w:val="none"/>
        </w:rPr>
        <w:t>．与本报价有关的一切正式往来信函请寄：</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地址_________________________     传真____________________________</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电话_________________________     电子函件________________________</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Ansi="宋体"/>
          <w:color w:val="auto"/>
          <w:sz w:val="24"/>
          <w:highlight w:val="none"/>
          <w:u w:val="single"/>
        </w:rPr>
        <w:t xml:space="preserve">                 </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单一来源供应商名称（全称）</w:t>
      </w:r>
      <w:r>
        <w:rPr>
          <w:rFonts w:hint="eastAsia" w:hAnsi="宋体"/>
          <w:color w:val="auto"/>
          <w:sz w:val="24"/>
          <w:highlight w:val="none"/>
          <w:u w:val="single"/>
        </w:rPr>
        <w:t xml:space="preserve"> </w:t>
      </w:r>
      <w:r>
        <w:rPr>
          <w:rFonts w:hAnsi="宋体"/>
          <w:color w:val="auto"/>
          <w:sz w:val="24"/>
          <w:highlight w:val="none"/>
          <w:u w:val="single"/>
        </w:rPr>
        <w:t xml:space="preserve">                 </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单一来源供应商公章</w:t>
      </w:r>
      <w:r>
        <w:rPr>
          <w:rFonts w:hint="eastAsia" w:hAnsi="宋体"/>
          <w:color w:val="auto"/>
          <w:sz w:val="24"/>
          <w:highlight w:val="none"/>
          <w:u w:val="single"/>
        </w:rPr>
        <w:t xml:space="preserve"> </w:t>
      </w:r>
      <w:r>
        <w:rPr>
          <w:rFonts w:hAnsi="宋体"/>
          <w:color w:val="auto"/>
          <w:sz w:val="24"/>
          <w:highlight w:val="none"/>
          <w:u w:val="single"/>
        </w:rPr>
        <w:t xml:space="preserve">                         </w:t>
      </w:r>
    </w:p>
    <w:p>
      <w:pPr>
        <w:pStyle w:val="13"/>
        <w:tabs>
          <w:tab w:val="left" w:pos="5580"/>
        </w:tabs>
        <w:spacing w:line="360" w:lineRule="auto"/>
        <w:ind w:left="420"/>
        <w:rPr>
          <w:rFonts w:hAnsi="宋体"/>
          <w:color w:val="auto"/>
          <w:sz w:val="24"/>
          <w:highlight w:val="none"/>
          <w:u w:val="single"/>
        </w:rPr>
      </w:pPr>
      <w:r>
        <w:rPr>
          <w:rFonts w:hint="eastAsia" w:hAnsi="宋体"/>
          <w:color w:val="auto"/>
          <w:sz w:val="24"/>
          <w:highlight w:val="none"/>
        </w:rPr>
        <w:t>日期</w:t>
      </w:r>
      <w:r>
        <w:rPr>
          <w:rFonts w:hint="eastAsia" w:hAnsi="宋体"/>
          <w:color w:val="auto"/>
          <w:sz w:val="24"/>
          <w:highlight w:val="none"/>
          <w:u w:val="single"/>
        </w:rPr>
        <w:t xml:space="preserve"> </w:t>
      </w:r>
      <w:r>
        <w:rPr>
          <w:rFonts w:hAnsi="宋体"/>
          <w:color w:val="auto"/>
          <w:sz w:val="24"/>
          <w:highlight w:val="none"/>
          <w:u w:val="single"/>
        </w:rPr>
        <w:t xml:space="preserve">                                       </w:t>
      </w:r>
    </w:p>
    <w:p>
      <w:pPr>
        <w:widowControl/>
        <w:spacing w:line="360" w:lineRule="auto"/>
        <w:jc w:val="left"/>
        <w:rPr>
          <w:rFonts w:ascii="宋体" w:hAnsi="宋体"/>
          <w:color w:val="auto"/>
          <w:sz w:val="24"/>
          <w:szCs w:val="20"/>
          <w:highlight w:val="none"/>
          <w:u w:val="single"/>
        </w:rPr>
        <w:sectPr>
          <w:headerReference r:id="rId3" w:type="default"/>
          <w:footerReference r:id="rId4" w:type="default"/>
          <w:footerReference r:id="rId5" w:type="even"/>
          <w:pgSz w:w="11907" w:h="16840"/>
          <w:pgMar w:top="1229" w:right="1701" w:bottom="1588" w:left="1259" w:header="851" w:footer="851" w:gutter="0"/>
          <w:pgNumType w:start="1"/>
          <w:cols w:space="720" w:num="1"/>
          <w:titlePg/>
        </w:sectPr>
      </w:pPr>
    </w:p>
    <w:p>
      <w:pPr>
        <w:pStyle w:val="3"/>
        <w:tabs>
          <w:tab w:val="left" w:pos="5580"/>
        </w:tabs>
        <w:spacing w:before="0" w:line="360" w:lineRule="auto"/>
        <w:rPr>
          <w:color w:val="auto"/>
          <w:sz w:val="32"/>
          <w:szCs w:val="32"/>
          <w:highlight w:val="none"/>
        </w:rPr>
      </w:pPr>
      <w:bookmarkStart w:id="273" w:name="_Toc520356218"/>
      <w:bookmarkStart w:id="274" w:name="_Toc480942350"/>
      <w:bookmarkStart w:id="275" w:name="_Ref467988705"/>
      <w:bookmarkStart w:id="276" w:name="_Toc292886225"/>
      <w:bookmarkStart w:id="277" w:name="_Toc292886385"/>
      <w:bookmarkStart w:id="278" w:name="_Toc367205277"/>
      <w:bookmarkStart w:id="279" w:name="_Toc434916155"/>
      <w:r>
        <w:rPr>
          <w:rFonts w:hint="eastAsia" w:ascii="宋体" w:hAnsi="宋体" w:eastAsia="宋体"/>
          <w:color w:val="auto"/>
          <w:sz w:val="32"/>
          <w:szCs w:val="32"/>
          <w:highlight w:val="none"/>
        </w:rPr>
        <w:t>附件2</w:t>
      </w:r>
      <w:bookmarkEnd w:id="273"/>
      <w:bookmarkEnd w:id="274"/>
      <w:bookmarkEnd w:id="275"/>
      <w:bookmarkEnd w:id="276"/>
      <w:bookmarkEnd w:id="277"/>
      <w:bookmarkEnd w:id="278"/>
      <w:r>
        <w:rPr>
          <w:rFonts w:hint="eastAsia" w:ascii="宋体" w:hAnsi="宋体" w:eastAsia="宋体"/>
          <w:color w:val="auto"/>
          <w:sz w:val="32"/>
          <w:szCs w:val="32"/>
          <w:highlight w:val="none"/>
        </w:rPr>
        <w:t xml:space="preserve"> </w:t>
      </w:r>
      <w:r>
        <w:rPr>
          <w:rFonts w:ascii="宋体" w:hAnsi="宋体" w:eastAsia="宋体"/>
          <w:color w:val="auto"/>
          <w:sz w:val="32"/>
          <w:szCs w:val="32"/>
          <w:highlight w:val="none"/>
        </w:rPr>
        <w:t xml:space="preserve"> </w:t>
      </w:r>
      <w:r>
        <w:rPr>
          <w:rFonts w:hint="eastAsia" w:ascii="宋体" w:hAnsi="宋体" w:eastAsia="宋体"/>
          <w:color w:val="auto"/>
          <w:sz w:val="32"/>
          <w:szCs w:val="32"/>
          <w:highlight w:val="none"/>
        </w:rPr>
        <w:t>报价一览表</w:t>
      </w:r>
      <w:bookmarkEnd w:id="279"/>
    </w:p>
    <w:p>
      <w:pPr>
        <w:tabs>
          <w:tab w:val="left" w:pos="1800"/>
          <w:tab w:val="left" w:pos="5580"/>
        </w:tabs>
        <w:spacing w:line="360" w:lineRule="auto"/>
        <w:rPr>
          <w:rFonts w:ascii="宋体" w:hAnsi="宋体"/>
          <w:color w:val="auto"/>
          <w:sz w:val="24"/>
          <w:highlight w:val="none"/>
          <w:u w:val="single"/>
        </w:rPr>
      </w:pPr>
      <w:r>
        <w:rPr>
          <w:rFonts w:hint="eastAsia" w:ascii="宋体" w:hAnsi="宋体"/>
          <w:color w:val="auto"/>
          <w:sz w:val="24"/>
          <w:highlight w:val="none"/>
        </w:rPr>
        <w:t>招标编号[包号]：</w:t>
      </w:r>
      <w:r>
        <w:rPr>
          <w:rFonts w:hint="eastAsia" w:ascii="宋体" w:hAnsi="宋体"/>
          <w:color w:val="auto"/>
          <w:sz w:val="24"/>
          <w:highlight w:val="none"/>
          <w:u w:val="single"/>
        </w:rPr>
        <w:t xml:space="preserve">                              </w:t>
      </w:r>
    </w:p>
    <w:p>
      <w:pPr>
        <w:tabs>
          <w:tab w:val="left" w:pos="1800"/>
          <w:tab w:val="left" w:pos="5580"/>
        </w:tabs>
        <w:spacing w:line="360" w:lineRule="auto"/>
        <w:rPr>
          <w:rFonts w:ascii="宋体" w:hAnsi="宋体"/>
          <w:color w:val="auto"/>
          <w:sz w:val="24"/>
          <w:highlight w:val="none"/>
          <w:u w:val="single"/>
        </w:rPr>
      </w:pPr>
      <w:r>
        <w:rPr>
          <w:rFonts w:hint="eastAsia" w:ascii="宋体" w:hAnsi="宋体"/>
          <w:color w:val="auto"/>
          <w:sz w:val="24"/>
          <w:highlight w:val="none"/>
        </w:rPr>
        <w:t>项目名称：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tabs>
          <w:tab w:val="left" w:pos="1800"/>
          <w:tab w:val="left" w:pos="5580"/>
        </w:tabs>
        <w:spacing w:line="360" w:lineRule="auto"/>
        <w:ind w:right="1440"/>
        <w:rPr>
          <w:rFonts w:ascii="宋体" w:hAnsi="宋体"/>
          <w:color w:val="auto"/>
          <w:sz w:val="24"/>
          <w:highlight w:val="none"/>
        </w:rPr>
      </w:pPr>
      <w:r>
        <w:rPr>
          <w:rFonts w:hint="eastAsia" w:ascii="宋体" w:hAnsi="宋体"/>
          <w:color w:val="auto"/>
          <w:sz w:val="24"/>
          <w:highlight w:val="none"/>
        </w:rPr>
        <w:t>报价单位：美元</w:t>
      </w:r>
      <w:r>
        <w:rPr>
          <w:rFonts w:hint="eastAsia" w:ascii="宋体" w:hAnsi="宋体"/>
          <w:color w:val="auto"/>
          <w:sz w:val="24"/>
          <w:highlight w:val="none"/>
        </w:rPr>
        <w:t xml:space="preserve"> </w:t>
      </w:r>
    </w:p>
    <w:tbl>
      <w:tblPr>
        <w:tblStyle w:val="26"/>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4395"/>
        <w:gridCol w:w="2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pPr>
              <w:pStyle w:val="70"/>
              <w:spacing w:line="360" w:lineRule="auto"/>
              <w:jc w:val="center"/>
              <w:rPr>
                <w:b/>
                <w:color w:val="auto"/>
                <w:szCs w:val="24"/>
                <w:highlight w:val="none"/>
              </w:rPr>
            </w:pPr>
            <w:r>
              <w:rPr>
                <w:rFonts w:hint="eastAsia"/>
                <w:b/>
                <w:color w:val="auto"/>
                <w:szCs w:val="24"/>
                <w:highlight w:val="none"/>
              </w:rPr>
              <w:t>项目名称</w:t>
            </w:r>
          </w:p>
        </w:tc>
        <w:tc>
          <w:tcPr>
            <w:tcW w:w="4395" w:type="dxa"/>
            <w:vAlign w:val="center"/>
          </w:tcPr>
          <w:p>
            <w:pPr>
              <w:pStyle w:val="70"/>
              <w:spacing w:line="360" w:lineRule="auto"/>
              <w:jc w:val="center"/>
              <w:rPr>
                <w:b/>
                <w:color w:val="auto"/>
                <w:szCs w:val="24"/>
                <w:highlight w:val="none"/>
              </w:rPr>
            </w:pPr>
            <w:r>
              <w:rPr>
                <w:rFonts w:hint="eastAsia" w:cs="Arial"/>
                <w:b/>
                <w:color w:val="auto"/>
                <w:szCs w:val="24"/>
                <w:highlight w:val="none"/>
              </w:rPr>
              <w:t>投标报价（订购期中的第一年度报价）</w:t>
            </w:r>
          </w:p>
        </w:tc>
        <w:tc>
          <w:tcPr>
            <w:tcW w:w="2439" w:type="dxa"/>
            <w:vAlign w:val="center"/>
          </w:tcPr>
          <w:p>
            <w:pPr>
              <w:pStyle w:val="70"/>
              <w:spacing w:line="360" w:lineRule="auto"/>
              <w:jc w:val="center"/>
              <w:rPr>
                <w:b/>
                <w:color w:val="auto"/>
                <w:szCs w:val="24"/>
                <w:highlight w:val="none"/>
              </w:rPr>
            </w:pPr>
            <w:r>
              <w:rPr>
                <w:rFonts w:hint="eastAsia"/>
                <w:b/>
                <w:color w:val="auto"/>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jc w:val="center"/>
        </w:trPr>
        <w:tc>
          <w:tcPr>
            <w:tcW w:w="1696" w:type="dxa"/>
            <w:vAlign w:val="center"/>
          </w:tcPr>
          <w:p>
            <w:pPr>
              <w:spacing w:line="360" w:lineRule="auto"/>
              <w:jc w:val="center"/>
              <w:rPr>
                <w:b/>
                <w:color w:val="auto"/>
                <w:sz w:val="24"/>
                <w:highlight w:val="none"/>
              </w:rPr>
            </w:pPr>
          </w:p>
        </w:tc>
        <w:tc>
          <w:tcPr>
            <w:tcW w:w="4395" w:type="dxa"/>
            <w:vAlign w:val="center"/>
          </w:tcPr>
          <w:p>
            <w:pPr>
              <w:spacing w:line="360" w:lineRule="auto"/>
              <w:rPr>
                <w:b/>
                <w:color w:val="auto"/>
                <w:sz w:val="24"/>
                <w:highlight w:val="none"/>
              </w:rPr>
            </w:pPr>
            <w:r>
              <w:rPr>
                <w:rFonts w:hint="eastAsia"/>
                <w:b/>
                <w:color w:val="auto"/>
                <w:sz w:val="24"/>
                <w:highlight w:val="none"/>
              </w:rPr>
              <w:t>投标报价大写金额：</w:t>
            </w:r>
          </w:p>
          <w:p>
            <w:pPr>
              <w:spacing w:line="360" w:lineRule="auto"/>
              <w:rPr>
                <w:b/>
                <w:color w:val="auto"/>
                <w:sz w:val="24"/>
                <w:highlight w:val="none"/>
              </w:rPr>
            </w:pPr>
            <w:r>
              <w:rPr>
                <w:rFonts w:hint="eastAsia"/>
                <w:b/>
                <w:color w:val="auto"/>
                <w:sz w:val="24"/>
                <w:highlight w:val="none"/>
              </w:rPr>
              <w:t>投标报价小写金额：</w:t>
            </w:r>
          </w:p>
        </w:tc>
        <w:tc>
          <w:tcPr>
            <w:tcW w:w="2439" w:type="dxa"/>
            <w:vAlign w:val="center"/>
          </w:tcPr>
          <w:p>
            <w:pPr>
              <w:spacing w:line="360" w:lineRule="auto"/>
              <w:jc w:val="center"/>
              <w:rPr>
                <w:color w:val="auto"/>
                <w:sz w:val="24"/>
                <w:highlight w:val="none"/>
              </w:rPr>
            </w:pPr>
          </w:p>
        </w:tc>
      </w:tr>
    </w:tbl>
    <w:p>
      <w:pPr>
        <w:spacing w:line="360" w:lineRule="auto"/>
        <w:rPr>
          <w:rFonts w:ascii="宋体" w:hAnsi="宋体"/>
          <w:color w:val="auto"/>
          <w:sz w:val="24"/>
          <w:highlight w:val="none"/>
        </w:rPr>
      </w:pPr>
    </w:p>
    <w:p>
      <w:pPr>
        <w:rPr>
          <w:rFonts w:hAnsi="宋体"/>
          <w:color w:val="auto"/>
          <w:sz w:val="24"/>
          <w:highlight w:val="none"/>
        </w:rPr>
      </w:pPr>
      <w:r>
        <w:rPr>
          <w:rFonts w:hint="eastAsia" w:hAnsi="宋体"/>
          <w:color w:val="auto"/>
          <w:sz w:val="24"/>
          <w:highlight w:val="none"/>
        </w:rPr>
        <w:t>注：报价一览表中的“投标报价”是投标服务的全部费用的报价。</w:t>
      </w:r>
    </w:p>
    <w:p>
      <w:pPr>
        <w:spacing w:line="360" w:lineRule="auto"/>
        <w:rPr>
          <w:rFonts w:ascii="宋体" w:hAnsi="宋体"/>
          <w:color w:val="auto"/>
          <w:sz w:val="24"/>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pStyle w:val="13"/>
        <w:tabs>
          <w:tab w:val="left" w:pos="5580"/>
        </w:tabs>
        <w:spacing w:line="360" w:lineRule="auto"/>
        <w:ind w:left="718" w:leftChars="285" w:hanging="120" w:hangingChars="50"/>
        <w:rPr>
          <w:rFonts w:hAnsi="宋体"/>
          <w:color w:val="auto"/>
          <w:sz w:val="24"/>
          <w:highlight w:val="none"/>
        </w:rPr>
      </w:pPr>
    </w:p>
    <w:p>
      <w:pPr>
        <w:pStyle w:val="3"/>
        <w:spacing w:before="0" w:line="360" w:lineRule="auto"/>
        <w:ind w:firstLine="5061" w:firstLineChars="2109"/>
        <w:jc w:val="both"/>
        <w:rPr>
          <w:rFonts w:ascii="宋体" w:hAnsi="宋体" w:eastAsia="宋体"/>
          <w:color w:val="auto"/>
          <w:sz w:val="24"/>
          <w:highlight w:val="none"/>
        </w:rPr>
        <w:sectPr>
          <w:headerReference r:id="rId6" w:type="default"/>
          <w:pgSz w:w="11906" w:h="16838"/>
          <w:pgMar w:top="1440" w:right="1797" w:bottom="1440" w:left="1797" w:header="851" w:footer="992" w:gutter="0"/>
          <w:cols w:space="720" w:num="1"/>
          <w:docGrid w:type="linesAndChars" w:linePitch="312" w:charSpace="0"/>
        </w:sectPr>
      </w:pPr>
    </w:p>
    <w:p>
      <w:pPr>
        <w:spacing w:line="360" w:lineRule="auto"/>
        <w:jc w:val="center"/>
        <w:rPr>
          <w:rFonts w:ascii="宋体" w:hAnsi="宋体"/>
          <w:color w:val="auto"/>
          <w:w w:val="90"/>
          <w:sz w:val="32"/>
          <w:szCs w:val="32"/>
          <w:highlight w:val="none"/>
        </w:rPr>
      </w:pPr>
      <w:bookmarkStart w:id="280" w:name="_Toc292886228"/>
      <w:bookmarkStart w:id="281" w:name="_Toc434916157"/>
      <w:bookmarkStart w:id="282" w:name="_Toc367205279"/>
      <w:bookmarkStart w:id="283" w:name="_Toc292886388"/>
      <w:r>
        <w:rPr>
          <w:rFonts w:hint="eastAsia" w:ascii="宋体" w:hAnsi="宋体"/>
          <w:b/>
          <w:color w:val="auto"/>
          <w:sz w:val="32"/>
          <w:szCs w:val="32"/>
          <w:highlight w:val="none"/>
        </w:rPr>
        <w:t>附件</w:t>
      </w:r>
      <w:bookmarkStart w:id="284" w:name="_Toc47262064"/>
      <w:bookmarkStart w:id="285" w:name="_Toc47261880"/>
      <w:bookmarkStart w:id="286" w:name="_Toc47418250"/>
      <w:bookmarkStart w:id="287" w:name="_Toc47418726"/>
      <w:bookmarkStart w:id="288" w:name="_Toc47418933"/>
      <w:bookmarkStart w:id="289" w:name="_Toc47261685"/>
      <w:bookmarkStart w:id="290" w:name="_Toc193858790"/>
      <w:bookmarkStart w:id="291" w:name="_Toc48791230"/>
      <w:bookmarkStart w:id="292" w:name="_Toc195427224"/>
      <w:bookmarkStart w:id="293" w:name="_Toc243680608"/>
      <w:bookmarkStart w:id="294" w:name="_Toc245740650"/>
      <w:bookmarkStart w:id="295" w:name="_Toc155772032"/>
      <w:bookmarkStart w:id="296" w:name="_Toc155772924"/>
      <w:bookmarkStart w:id="297" w:name="_Toc48995846"/>
      <w:bookmarkStart w:id="298" w:name="_Toc146011781"/>
      <w:bookmarkStart w:id="299" w:name="_Toc153353717"/>
      <w:bookmarkStart w:id="300" w:name="_Toc243946201"/>
      <w:bookmarkStart w:id="301" w:name="_Toc49019231"/>
      <w:r>
        <w:rPr>
          <w:rFonts w:ascii="宋体" w:hAnsi="宋体"/>
          <w:b/>
          <w:color w:val="auto"/>
          <w:sz w:val="32"/>
          <w:szCs w:val="32"/>
          <w:highlight w:val="none"/>
        </w:rPr>
        <w:t>3</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分项（明细）报价表</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分项（明细）报价表</w:t>
      </w:r>
    </w:p>
    <w:p>
      <w:pPr>
        <w:tabs>
          <w:tab w:val="left" w:pos="1800"/>
          <w:tab w:val="left" w:pos="5580"/>
        </w:tabs>
        <w:spacing w:line="360" w:lineRule="auto"/>
        <w:ind w:firstLine="240" w:firstLineChars="100"/>
        <w:rPr>
          <w:rFonts w:hAnsi="宋体"/>
          <w:color w:val="auto"/>
          <w:sz w:val="24"/>
          <w:highlight w:val="none"/>
        </w:rPr>
      </w:pPr>
      <w:r>
        <w:rPr>
          <w:rFonts w:hint="eastAsia" w:ascii="宋体" w:hAnsi="宋体"/>
          <w:color w:val="auto"/>
          <w:sz w:val="24"/>
          <w:highlight w:val="none"/>
        </w:rPr>
        <w:t>招标编号[包号]：</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项目名称：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hAnsi="宋体"/>
          <w:color w:val="auto"/>
          <w:sz w:val="24"/>
          <w:highlight w:val="none"/>
        </w:rPr>
        <w:t>报价单位：美元</w:t>
      </w:r>
    </w:p>
    <w:tbl>
      <w:tblPr>
        <w:tblStyle w:val="26"/>
        <w:tblW w:w="14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884"/>
        <w:gridCol w:w="3261"/>
        <w:gridCol w:w="2976"/>
        <w:gridCol w:w="1701"/>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080" w:type="dxa"/>
            <w:vAlign w:val="center"/>
          </w:tcPr>
          <w:p>
            <w:pPr>
              <w:pStyle w:val="70"/>
              <w:spacing w:line="360" w:lineRule="auto"/>
              <w:jc w:val="center"/>
              <w:rPr>
                <w:color w:val="auto"/>
                <w:szCs w:val="24"/>
                <w:highlight w:val="none"/>
              </w:rPr>
            </w:pPr>
            <w:r>
              <w:rPr>
                <w:color w:val="auto"/>
                <w:szCs w:val="24"/>
                <w:highlight w:val="none"/>
              </w:rPr>
              <w:t>序号</w:t>
            </w:r>
          </w:p>
        </w:tc>
        <w:tc>
          <w:tcPr>
            <w:tcW w:w="2884" w:type="dxa"/>
            <w:vAlign w:val="center"/>
          </w:tcPr>
          <w:p>
            <w:pPr>
              <w:pStyle w:val="70"/>
              <w:spacing w:line="360" w:lineRule="auto"/>
              <w:jc w:val="center"/>
              <w:rPr>
                <w:color w:val="auto"/>
                <w:szCs w:val="24"/>
                <w:highlight w:val="none"/>
              </w:rPr>
            </w:pPr>
            <w:r>
              <w:rPr>
                <w:rFonts w:hint="eastAsia"/>
                <w:color w:val="auto"/>
                <w:szCs w:val="24"/>
                <w:highlight w:val="none"/>
              </w:rPr>
              <w:t>名    称</w:t>
            </w:r>
          </w:p>
        </w:tc>
        <w:tc>
          <w:tcPr>
            <w:tcW w:w="3261" w:type="dxa"/>
            <w:vAlign w:val="center"/>
          </w:tcPr>
          <w:p>
            <w:pPr>
              <w:pStyle w:val="70"/>
              <w:spacing w:line="360" w:lineRule="auto"/>
              <w:jc w:val="center"/>
              <w:rPr>
                <w:color w:val="auto"/>
                <w:szCs w:val="24"/>
                <w:highlight w:val="none"/>
              </w:rPr>
            </w:pPr>
            <w:r>
              <w:rPr>
                <w:rFonts w:hint="eastAsia"/>
                <w:color w:val="auto"/>
                <w:szCs w:val="24"/>
                <w:highlight w:val="none"/>
              </w:rPr>
              <w:t>DRAA当年谈判价（如有）</w:t>
            </w:r>
          </w:p>
        </w:tc>
        <w:tc>
          <w:tcPr>
            <w:tcW w:w="2976" w:type="dxa"/>
          </w:tcPr>
          <w:p>
            <w:pPr>
              <w:pStyle w:val="70"/>
              <w:spacing w:line="360" w:lineRule="auto"/>
              <w:jc w:val="center"/>
              <w:rPr>
                <w:color w:val="auto"/>
                <w:szCs w:val="24"/>
                <w:highlight w:val="none"/>
              </w:rPr>
            </w:pPr>
            <w:r>
              <w:rPr>
                <w:rFonts w:hint="eastAsia"/>
                <w:color w:val="auto"/>
                <w:szCs w:val="24"/>
                <w:highlight w:val="none"/>
              </w:rPr>
              <w:t>代理服务费费率（如有）</w:t>
            </w:r>
          </w:p>
        </w:tc>
        <w:tc>
          <w:tcPr>
            <w:tcW w:w="1701" w:type="dxa"/>
            <w:vAlign w:val="center"/>
          </w:tcPr>
          <w:p>
            <w:pPr>
              <w:pStyle w:val="70"/>
              <w:spacing w:line="360" w:lineRule="auto"/>
              <w:jc w:val="center"/>
              <w:rPr>
                <w:color w:val="auto"/>
                <w:szCs w:val="24"/>
                <w:highlight w:val="none"/>
              </w:rPr>
            </w:pPr>
            <w:r>
              <w:rPr>
                <w:rFonts w:hint="eastAsia"/>
                <w:color w:val="auto"/>
                <w:szCs w:val="24"/>
                <w:highlight w:val="none"/>
              </w:rPr>
              <w:t>总 价</w:t>
            </w:r>
          </w:p>
        </w:tc>
        <w:tc>
          <w:tcPr>
            <w:tcW w:w="2977" w:type="dxa"/>
            <w:vAlign w:val="center"/>
          </w:tcPr>
          <w:p>
            <w:pPr>
              <w:pStyle w:val="70"/>
              <w:spacing w:line="360" w:lineRule="auto"/>
              <w:jc w:val="center"/>
              <w:rPr>
                <w:color w:val="auto"/>
                <w:szCs w:val="24"/>
                <w:highlight w:val="none"/>
              </w:rPr>
            </w:pPr>
            <w:r>
              <w:rPr>
                <w:rFonts w:hint="eastAsia"/>
                <w:color w:val="auto"/>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exact"/>
          <w:jc w:val="center"/>
        </w:trPr>
        <w:tc>
          <w:tcPr>
            <w:tcW w:w="1080" w:type="dxa"/>
            <w:vAlign w:val="center"/>
          </w:tcPr>
          <w:p>
            <w:pPr>
              <w:pStyle w:val="70"/>
              <w:spacing w:line="360" w:lineRule="auto"/>
              <w:jc w:val="center"/>
              <w:rPr>
                <w:color w:val="auto"/>
                <w:szCs w:val="24"/>
                <w:highlight w:val="none"/>
              </w:rPr>
            </w:pPr>
            <w:r>
              <w:rPr>
                <w:rFonts w:hint="eastAsia"/>
                <w:color w:val="auto"/>
                <w:szCs w:val="24"/>
                <w:highlight w:val="none"/>
              </w:rPr>
              <w:t>1</w:t>
            </w:r>
          </w:p>
        </w:tc>
        <w:tc>
          <w:tcPr>
            <w:tcW w:w="2884" w:type="dxa"/>
            <w:vAlign w:val="center"/>
          </w:tcPr>
          <w:p>
            <w:pPr>
              <w:pStyle w:val="70"/>
              <w:spacing w:line="360" w:lineRule="auto"/>
              <w:rPr>
                <w:rStyle w:val="69"/>
                <w:i w:val="0"/>
                <w:color w:val="auto"/>
                <w:szCs w:val="24"/>
                <w:highlight w:val="none"/>
              </w:rPr>
            </w:pPr>
          </w:p>
        </w:tc>
        <w:tc>
          <w:tcPr>
            <w:tcW w:w="3261" w:type="dxa"/>
            <w:vAlign w:val="center"/>
          </w:tcPr>
          <w:p>
            <w:pPr>
              <w:spacing w:line="360" w:lineRule="auto"/>
              <w:rPr>
                <w:rFonts w:ascii="宋体" w:hAnsi="宋体"/>
                <w:color w:val="auto"/>
                <w:sz w:val="24"/>
                <w:highlight w:val="none"/>
              </w:rPr>
            </w:pPr>
          </w:p>
        </w:tc>
        <w:tc>
          <w:tcPr>
            <w:tcW w:w="2976" w:type="dxa"/>
          </w:tcPr>
          <w:p>
            <w:pPr>
              <w:spacing w:line="360" w:lineRule="auto"/>
              <w:rPr>
                <w:rFonts w:ascii="宋体" w:hAnsi="宋体"/>
                <w:color w:val="auto"/>
                <w:sz w:val="24"/>
                <w:highlight w:val="none"/>
              </w:rPr>
            </w:pPr>
          </w:p>
        </w:tc>
        <w:tc>
          <w:tcPr>
            <w:tcW w:w="1701" w:type="dxa"/>
            <w:vAlign w:val="center"/>
          </w:tcPr>
          <w:p>
            <w:pPr>
              <w:spacing w:line="360" w:lineRule="auto"/>
              <w:rPr>
                <w:rFonts w:ascii="宋体" w:hAnsi="宋体"/>
                <w:color w:val="auto"/>
                <w:sz w:val="24"/>
                <w:highlight w:val="none"/>
              </w:rPr>
            </w:pPr>
          </w:p>
        </w:tc>
        <w:tc>
          <w:tcPr>
            <w:tcW w:w="2977"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订购期中的第一年度报价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exact"/>
          <w:jc w:val="center"/>
        </w:trPr>
        <w:tc>
          <w:tcPr>
            <w:tcW w:w="1080" w:type="dxa"/>
            <w:vAlign w:val="center"/>
          </w:tcPr>
          <w:p>
            <w:pPr>
              <w:pStyle w:val="70"/>
              <w:spacing w:line="360" w:lineRule="auto"/>
              <w:jc w:val="center"/>
              <w:rPr>
                <w:color w:val="auto"/>
                <w:szCs w:val="24"/>
                <w:highlight w:val="none"/>
              </w:rPr>
            </w:pPr>
            <w:r>
              <w:rPr>
                <w:rFonts w:hint="eastAsia"/>
                <w:color w:val="auto"/>
                <w:szCs w:val="24"/>
                <w:highlight w:val="none"/>
              </w:rPr>
              <w:t>2</w:t>
            </w:r>
          </w:p>
        </w:tc>
        <w:tc>
          <w:tcPr>
            <w:tcW w:w="2884" w:type="dxa"/>
            <w:vAlign w:val="center"/>
          </w:tcPr>
          <w:p>
            <w:pPr>
              <w:pStyle w:val="70"/>
              <w:spacing w:line="360" w:lineRule="auto"/>
              <w:rPr>
                <w:rStyle w:val="69"/>
                <w:i w:val="0"/>
                <w:color w:val="auto"/>
                <w:szCs w:val="24"/>
                <w:highlight w:val="none"/>
              </w:rPr>
            </w:pPr>
          </w:p>
        </w:tc>
        <w:tc>
          <w:tcPr>
            <w:tcW w:w="3261" w:type="dxa"/>
            <w:vAlign w:val="center"/>
          </w:tcPr>
          <w:p>
            <w:pPr>
              <w:spacing w:line="360" w:lineRule="auto"/>
              <w:rPr>
                <w:rFonts w:ascii="宋体" w:hAnsi="宋体"/>
                <w:color w:val="auto"/>
                <w:sz w:val="24"/>
                <w:highlight w:val="none"/>
              </w:rPr>
            </w:pPr>
          </w:p>
        </w:tc>
        <w:tc>
          <w:tcPr>
            <w:tcW w:w="2976" w:type="dxa"/>
          </w:tcPr>
          <w:p>
            <w:pPr>
              <w:spacing w:line="360" w:lineRule="auto"/>
              <w:rPr>
                <w:rFonts w:ascii="宋体" w:hAnsi="宋体"/>
                <w:color w:val="auto"/>
                <w:sz w:val="24"/>
                <w:highlight w:val="none"/>
              </w:rPr>
            </w:pPr>
          </w:p>
        </w:tc>
        <w:tc>
          <w:tcPr>
            <w:tcW w:w="1701" w:type="dxa"/>
            <w:vAlign w:val="center"/>
          </w:tcPr>
          <w:p>
            <w:pPr>
              <w:spacing w:line="360" w:lineRule="auto"/>
              <w:rPr>
                <w:rFonts w:ascii="宋体" w:hAnsi="宋体"/>
                <w:color w:val="auto"/>
                <w:sz w:val="24"/>
                <w:highlight w:val="none"/>
              </w:rPr>
            </w:pPr>
          </w:p>
        </w:tc>
        <w:tc>
          <w:tcPr>
            <w:tcW w:w="2977"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订购期中的第二年度报价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exact"/>
          <w:jc w:val="center"/>
        </w:trPr>
        <w:tc>
          <w:tcPr>
            <w:tcW w:w="14879" w:type="dxa"/>
            <w:gridSpan w:val="6"/>
          </w:tcPr>
          <w:p>
            <w:pPr>
              <w:spacing w:line="360" w:lineRule="auto"/>
              <w:rPr>
                <w:rFonts w:ascii="宋体" w:hAnsi="宋体"/>
                <w:color w:val="auto"/>
                <w:sz w:val="24"/>
                <w:highlight w:val="none"/>
              </w:rPr>
            </w:pPr>
            <w:r>
              <w:rPr>
                <w:rFonts w:hint="eastAsia" w:ascii="宋体" w:hAnsi="宋体"/>
                <w:b/>
                <w:bCs/>
                <w:color w:val="auto"/>
                <w:sz w:val="24"/>
                <w:highlight w:val="none"/>
              </w:rPr>
              <w:t>★</w:t>
            </w:r>
            <w:r>
              <w:rPr>
                <w:rFonts w:hint="eastAsia" w:ascii="宋体" w:hAnsi="宋体"/>
                <w:color w:val="auto"/>
                <w:sz w:val="24"/>
                <w:highlight w:val="none"/>
              </w:rPr>
              <w:t>注：（1）订购期内第一年度报价（作为付款依据）：不得</w:t>
            </w:r>
            <w:r>
              <w:rPr>
                <w:rFonts w:ascii="宋体" w:hAnsi="宋体"/>
                <w:color w:val="auto"/>
                <w:sz w:val="24"/>
                <w:highlight w:val="none"/>
              </w:rPr>
              <w:t>2022</w:t>
            </w:r>
            <w:r>
              <w:rPr>
                <w:rFonts w:hint="eastAsia" w:ascii="宋体" w:hAnsi="宋体"/>
                <w:color w:val="auto"/>
                <w:sz w:val="24"/>
                <w:highlight w:val="none"/>
              </w:rPr>
              <w:t>年度预算金额（即8</w:t>
            </w:r>
            <w:r>
              <w:rPr>
                <w:rFonts w:ascii="宋体" w:hAnsi="宋体"/>
                <w:color w:val="auto"/>
                <w:sz w:val="24"/>
                <w:highlight w:val="none"/>
              </w:rPr>
              <w:t>1027.99</w:t>
            </w:r>
            <w:r>
              <w:rPr>
                <w:rFonts w:hint="eastAsia" w:ascii="宋体" w:hAnsi="宋体"/>
                <w:color w:val="auto"/>
                <w:sz w:val="24"/>
                <w:highlight w:val="none"/>
              </w:rPr>
              <w:t>美元，含所有费用）；（2）订购期内第二年度报价（作为付款依据）：不得超过该库</w:t>
            </w:r>
            <w:r>
              <w:rPr>
                <w:rFonts w:ascii="宋体" w:hAnsi="宋体"/>
                <w:color w:val="auto"/>
                <w:sz w:val="24"/>
                <w:highlight w:val="none"/>
              </w:rPr>
              <w:t>DRAA</w:t>
            </w:r>
            <w:r>
              <w:rPr>
                <w:rFonts w:hint="eastAsia" w:ascii="宋体" w:hAnsi="宋体"/>
                <w:color w:val="auto"/>
                <w:sz w:val="24"/>
                <w:highlight w:val="none"/>
              </w:rPr>
              <w:t>当年谈判价*</w:t>
            </w:r>
            <w:r>
              <w:rPr>
                <w:rFonts w:ascii="宋体" w:hAnsi="宋体"/>
                <w:color w:val="auto"/>
                <w:sz w:val="24"/>
                <w:highlight w:val="none"/>
              </w:rPr>
              <w:t>1.014</w:t>
            </w:r>
            <w:r>
              <w:rPr>
                <w:rFonts w:hint="eastAsia" w:ascii="宋体" w:hAnsi="宋体"/>
                <w:color w:val="auto"/>
                <w:sz w:val="24"/>
                <w:highlight w:val="none"/>
              </w:rPr>
              <w:t>（含所有费用）。</w:t>
            </w:r>
          </w:p>
        </w:tc>
      </w:tr>
    </w:tbl>
    <w:p>
      <w:pPr>
        <w:spacing w:line="360" w:lineRule="auto"/>
        <w:ind w:left="-359" w:leftChars="-171" w:firstLine="360" w:firstLineChars="150"/>
        <w:rPr>
          <w:rFonts w:hAnsi="宋体"/>
          <w:color w:val="auto"/>
          <w:sz w:val="24"/>
          <w:highlight w:val="none"/>
        </w:rPr>
      </w:pPr>
    </w:p>
    <w:p>
      <w:pPr>
        <w:spacing w:line="360" w:lineRule="auto"/>
        <w:ind w:left="-359" w:leftChars="-171" w:firstLine="360" w:firstLineChars="150"/>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color w:val="auto"/>
          <w:highlight w:val="none"/>
          <w:u w:val="singl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r>
        <w:rPr>
          <w:color w:val="auto"/>
          <w:highlight w:val="none"/>
          <w:u w:val="single"/>
        </w:rPr>
        <w:br w:type="page"/>
      </w:r>
    </w:p>
    <w:p>
      <w:pPr>
        <w:spacing w:line="360" w:lineRule="auto"/>
        <w:rPr>
          <w:rFonts w:hAnsi="宋体"/>
          <w:color w:val="auto"/>
          <w:sz w:val="24"/>
          <w:highlight w:val="none"/>
        </w:rPr>
        <w:sectPr>
          <w:headerReference r:id="rId7" w:type="default"/>
          <w:pgSz w:w="16838" w:h="11906" w:orient="landscape"/>
          <w:pgMar w:top="1797" w:right="1440" w:bottom="1797" w:left="1440" w:header="851" w:footer="992" w:gutter="0"/>
          <w:cols w:space="425" w:num="1"/>
          <w:docGrid w:linePitch="312" w:charSpace="0"/>
        </w:sectPr>
      </w:pPr>
    </w:p>
    <w:p>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附件</w:t>
      </w:r>
      <w:r>
        <w:rPr>
          <w:rFonts w:ascii="宋体" w:hAnsi="宋体"/>
          <w:b/>
          <w:color w:val="auto"/>
          <w:sz w:val="32"/>
          <w:szCs w:val="32"/>
          <w:highlight w:val="none"/>
        </w:rPr>
        <w:t>4</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w:t>
      </w:r>
      <w:r>
        <w:rPr>
          <w:rFonts w:hint="eastAsia" w:ascii="宋体" w:hAnsi="宋体"/>
          <w:b/>
          <w:color w:val="auto"/>
          <w:sz w:val="32"/>
          <w:szCs w:val="32"/>
          <w:highlight w:val="none"/>
        </w:rPr>
        <w:t>技术规格偏离表</w:t>
      </w:r>
      <w:bookmarkEnd w:id="280"/>
      <w:bookmarkEnd w:id="281"/>
      <w:bookmarkEnd w:id="282"/>
      <w:bookmarkEnd w:id="283"/>
    </w:p>
    <w:p>
      <w:pPr>
        <w:pStyle w:val="13"/>
        <w:spacing w:line="360" w:lineRule="auto"/>
        <w:rPr>
          <w:rFonts w:hAnsi="宋体"/>
          <w:color w:val="auto"/>
          <w:sz w:val="24"/>
          <w:highlight w:val="none"/>
        </w:rPr>
      </w:pPr>
    </w:p>
    <w:p>
      <w:pPr>
        <w:pStyle w:val="13"/>
        <w:spacing w:line="360" w:lineRule="auto"/>
        <w:rPr>
          <w:rFonts w:hAnsi="宋体"/>
          <w:color w:val="auto"/>
          <w:sz w:val="24"/>
          <w:highlight w:val="none"/>
        </w:rPr>
      </w:pPr>
      <w:r>
        <w:rPr>
          <w:rFonts w:hint="eastAsia" w:hAnsi="宋体"/>
          <w:color w:val="auto"/>
          <w:sz w:val="24"/>
          <w:highlight w:val="none"/>
        </w:rPr>
        <w:t>项目名称:</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rPr>
        <w:t xml:space="preserve">         采购编号:</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rPr>
        <w:t xml:space="preserve"> </w:t>
      </w:r>
    </w:p>
    <w:tbl>
      <w:tblPr>
        <w:tblStyle w:val="26"/>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126"/>
        <w:gridCol w:w="1843"/>
        <w:gridCol w:w="1275"/>
        <w:gridCol w:w="1276"/>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2126"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招标文件</w:t>
            </w:r>
          </w:p>
          <w:p>
            <w:pPr>
              <w:spacing w:line="360" w:lineRule="auto"/>
              <w:jc w:val="center"/>
              <w:rPr>
                <w:rFonts w:ascii="宋体" w:hAnsi="宋体"/>
                <w:color w:val="auto"/>
                <w:sz w:val="24"/>
                <w:highlight w:val="none"/>
              </w:rPr>
            </w:pPr>
            <w:r>
              <w:rPr>
                <w:rFonts w:hint="eastAsia" w:ascii="宋体" w:hAnsi="宋体"/>
                <w:color w:val="auto"/>
                <w:sz w:val="24"/>
                <w:highlight w:val="none"/>
              </w:rPr>
              <w:t>条目号</w:t>
            </w:r>
          </w:p>
        </w:tc>
        <w:tc>
          <w:tcPr>
            <w:tcW w:w="1843"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招标文件</w:t>
            </w:r>
          </w:p>
          <w:p>
            <w:pPr>
              <w:spacing w:line="360" w:lineRule="auto"/>
              <w:jc w:val="center"/>
              <w:rPr>
                <w:rFonts w:ascii="宋体" w:hAnsi="宋体"/>
                <w:color w:val="auto"/>
                <w:sz w:val="24"/>
                <w:highlight w:val="none"/>
              </w:rPr>
            </w:pPr>
            <w:r>
              <w:rPr>
                <w:rFonts w:hint="eastAsia" w:ascii="宋体" w:hAnsi="宋体"/>
                <w:color w:val="auto"/>
                <w:sz w:val="24"/>
                <w:highlight w:val="none"/>
              </w:rPr>
              <w:t>要求规格</w:t>
            </w:r>
          </w:p>
        </w:tc>
        <w:tc>
          <w:tcPr>
            <w:tcW w:w="1275"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投标规格</w:t>
            </w:r>
          </w:p>
        </w:tc>
        <w:tc>
          <w:tcPr>
            <w:tcW w:w="1276"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偏离情况</w:t>
            </w:r>
          </w:p>
        </w:tc>
        <w:tc>
          <w:tcPr>
            <w:tcW w:w="1701"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bl>
    <w:p>
      <w:pPr>
        <w:pStyle w:val="13"/>
        <w:spacing w:line="360" w:lineRule="auto"/>
        <w:rPr>
          <w:rFonts w:hAnsi="宋体"/>
          <w:color w:val="auto"/>
          <w:sz w:val="24"/>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spacing w:line="360" w:lineRule="auto"/>
        <w:ind w:left="241"/>
        <w:rPr>
          <w:rFonts w:ascii="宋体" w:hAnsi="宋体"/>
          <w:color w:val="auto"/>
          <w:sz w:val="24"/>
          <w:highlight w:val="none"/>
        </w:rPr>
      </w:pPr>
    </w:p>
    <w:p>
      <w:pPr>
        <w:spacing w:line="360" w:lineRule="auto"/>
        <w:ind w:left="-119"/>
        <w:rPr>
          <w:rFonts w:ascii="宋体" w:hAnsi="宋体"/>
          <w:color w:val="auto"/>
          <w:sz w:val="24"/>
          <w:highlight w:val="none"/>
        </w:rPr>
      </w:pPr>
      <w:r>
        <w:rPr>
          <w:rFonts w:hAnsi="宋体"/>
          <w:color w:val="auto"/>
          <w:sz w:val="24"/>
          <w:highlight w:val="none"/>
        </w:rPr>
        <w:t>注</w:t>
      </w:r>
      <w:r>
        <w:rPr>
          <w:rFonts w:hint="eastAsia" w:hAnsi="宋体"/>
          <w:color w:val="auto"/>
          <w:sz w:val="24"/>
          <w:highlight w:val="none"/>
        </w:rPr>
        <w:t>：</w:t>
      </w:r>
      <w:r>
        <w:rPr>
          <w:rFonts w:hint="eastAsia" w:ascii="宋体" w:hAnsi="宋体"/>
          <w:color w:val="auto"/>
          <w:sz w:val="24"/>
          <w:highlight w:val="none"/>
        </w:rPr>
        <w:t>供应商应对采购文件技术要求逐条填写偏离情况（</w:t>
      </w:r>
      <w:r>
        <w:rPr>
          <w:rFonts w:ascii="宋体" w:hAnsi="宋体"/>
          <w:color w:val="auto"/>
          <w:sz w:val="24"/>
          <w:highlight w:val="none"/>
        </w:rPr>
        <w:t>正偏离</w:t>
      </w:r>
      <w:r>
        <w:rPr>
          <w:rFonts w:hint="eastAsia" w:ascii="宋体" w:hAnsi="宋体"/>
          <w:color w:val="auto"/>
          <w:sz w:val="24"/>
          <w:highlight w:val="none"/>
        </w:rPr>
        <w:t>、</w:t>
      </w:r>
      <w:r>
        <w:rPr>
          <w:rFonts w:ascii="宋体" w:hAnsi="宋体"/>
          <w:color w:val="auto"/>
          <w:sz w:val="24"/>
          <w:highlight w:val="none"/>
        </w:rPr>
        <w:t>负偏离或无偏离</w:t>
      </w:r>
      <w:r>
        <w:rPr>
          <w:rFonts w:hint="eastAsia" w:ascii="宋体" w:hAnsi="宋体"/>
          <w:color w:val="auto"/>
          <w:sz w:val="24"/>
          <w:highlight w:val="none"/>
        </w:rPr>
        <w:t>），并说明偏离的具体内容及做出必要说明。供应商</w:t>
      </w:r>
      <w:r>
        <w:rPr>
          <w:rFonts w:ascii="宋体" w:hAnsi="宋体"/>
          <w:color w:val="auto"/>
          <w:sz w:val="24"/>
          <w:highlight w:val="none"/>
        </w:rPr>
        <w:t>应对故意隐瞒偏离的行为承担责任。</w:t>
      </w:r>
    </w:p>
    <w:p>
      <w:pPr>
        <w:pStyle w:val="13"/>
        <w:spacing w:line="360" w:lineRule="auto"/>
        <w:rPr>
          <w:rFonts w:hAnsi="宋体"/>
          <w:color w:val="auto"/>
          <w:sz w:val="24"/>
          <w:highlight w:val="none"/>
        </w:rPr>
      </w:pPr>
    </w:p>
    <w:p>
      <w:pPr>
        <w:pStyle w:val="3"/>
        <w:spacing w:before="0" w:line="360" w:lineRule="auto"/>
        <w:rPr>
          <w:rFonts w:ascii="宋体" w:hAnsi="宋体" w:eastAsia="宋体"/>
          <w:color w:val="auto"/>
          <w:sz w:val="24"/>
          <w:highlight w:val="none"/>
        </w:rPr>
        <w:sectPr>
          <w:headerReference r:id="rId8" w:type="default"/>
          <w:pgSz w:w="11906" w:h="16838"/>
          <w:pgMar w:top="1440" w:right="1797" w:bottom="1440" w:left="1797" w:header="851" w:footer="992" w:gutter="0"/>
          <w:cols w:space="720" w:num="1"/>
          <w:docGrid w:linePitch="312" w:charSpace="0"/>
        </w:sectPr>
      </w:pPr>
    </w:p>
    <w:p>
      <w:pPr>
        <w:spacing w:line="360" w:lineRule="auto"/>
        <w:jc w:val="center"/>
        <w:rPr>
          <w:rFonts w:ascii="宋体" w:hAnsi="宋体"/>
          <w:b/>
          <w:color w:val="auto"/>
          <w:sz w:val="32"/>
          <w:szCs w:val="32"/>
          <w:highlight w:val="none"/>
        </w:rPr>
      </w:pPr>
      <w:bookmarkStart w:id="302" w:name="_Toc292886389"/>
      <w:bookmarkStart w:id="303" w:name="_Toc434916158"/>
      <w:bookmarkStart w:id="304" w:name="_Toc367205280"/>
      <w:bookmarkStart w:id="305" w:name="_Toc292886229"/>
      <w:r>
        <w:rPr>
          <w:rFonts w:hint="eastAsia" w:ascii="宋体" w:hAnsi="宋体"/>
          <w:b/>
          <w:color w:val="auto"/>
          <w:sz w:val="32"/>
          <w:szCs w:val="32"/>
          <w:highlight w:val="none"/>
        </w:rPr>
        <w:t>附件</w:t>
      </w:r>
      <w:r>
        <w:rPr>
          <w:rFonts w:ascii="宋体" w:hAnsi="宋体"/>
          <w:b/>
          <w:color w:val="auto"/>
          <w:sz w:val="32"/>
          <w:szCs w:val="32"/>
          <w:highlight w:val="none"/>
        </w:rPr>
        <w:t>5</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w:t>
      </w:r>
      <w:r>
        <w:rPr>
          <w:rFonts w:hint="eastAsia" w:ascii="宋体" w:hAnsi="宋体"/>
          <w:b/>
          <w:color w:val="auto"/>
          <w:sz w:val="32"/>
          <w:szCs w:val="32"/>
          <w:highlight w:val="none"/>
        </w:rPr>
        <w:t>商务条款偏离表</w:t>
      </w:r>
      <w:bookmarkEnd w:id="302"/>
      <w:bookmarkEnd w:id="303"/>
      <w:bookmarkEnd w:id="304"/>
      <w:bookmarkEnd w:id="305"/>
    </w:p>
    <w:p>
      <w:pPr>
        <w:pStyle w:val="4"/>
        <w:spacing w:line="360" w:lineRule="auto"/>
        <w:rPr>
          <w:rFonts w:hAnsi="宋体"/>
          <w:color w:val="auto"/>
          <w:highlight w:val="none"/>
        </w:rPr>
      </w:pPr>
    </w:p>
    <w:p>
      <w:pPr>
        <w:pStyle w:val="13"/>
        <w:spacing w:line="360" w:lineRule="auto"/>
        <w:rPr>
          <w:rFonts w:hAnsi="宋体"/>
          <w:color w:val="auto"/>
          <w:sz w:val="24"/>
          <w:highlight w:val="none"/>
        </w:rPr>
      </w:pPr>
      <w:r>
        <w:rPr>
          <w:rFonts w:hint="eastAsia" w:hAnsi="宋体"/>
          <w:color w:val="auto"/>
          <w:sz w:val="24"/>
          <w:highlight w:val="none"/>
        </w:rPr>
        <w:t>项目名称:</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rPr>
        <w:t xml:space="preserve">         采购编号:</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rPr>
        <w:t xml:space="preserve"> </w:t>
      </w:r>
    </w:p>
    <w:tbl>
      <w:tblPr>
        <w:tblStyle w:val="26"/>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750"/>
        <w:gridCol w:w="1726"/>
        <w:gridCol w:w="1984"/>
        <w:gridCol w:w="1418"/>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750"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招标文件</w:t>
            </w:r>
          </w:p>
          <w:p>
            <w:pPr>
              <w:spacing w:line="360" w:lineRule="auto"/>
              <w:jc w:val="center"/>
              <w:rPr>
                <w:rFonts w:ascii="宋体" w:hAnsi="宋体"/>
                <w:color w:val="auto"/>
                <w:sz w:val="24"/>
                <w:highlight w:val="none"/>
              </w:rPr>
            </w:pPr>
            <w:r>
              <w:rPr>
                <w:rFonts w:hint="eastAsia" w:ascii="宋体" w:hAnsi="宋体"/>
                <w:color w:val="auto"/>
                <w:sz w:val="24"/>
                <w:highlight w:val="none"/>
              </w:rPr>
              <w:t>条目号</w:t>
            </w:r>
          </w:p>
        </w:tc>
        <w:tc>
          <w:tcPr>
            <w:tcW w:w="1726"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招标文件的</w:t>
            </w:r>
          </w:p>
          <w:p>
            <w:pPr>
              <w:spacing w:line="360" w:lineRule="auto"/>
              <w:jc w:val="center"/>
              <w:rPr>
                <w:rFonts w:ascii="宋体" w:hAnsi="宋体"/>
                <w:color w:val="auto"/>
                <w:sz w:val="24"/>
                <w:highlight w:val="none"/>
              </w:rPr>
            </w:pPr>
            <w:r>
              <w:rPr>
                <w:rFonts w:hint="eastAsia" w:ascii="宋体" w:hAnsi="宋体"/>
                <w:color w:val="auto"/>
                <w:sz w:val="24"/>
                <w:highlight w:val="none"/>
              </w:rPr>
              <w:t>商务条款</w:t>
            </w:r>
          </w:p>
        </w:tc>
        <w:tc>
          <w:tcPr>
            <w:tcW w:w="1984"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投标文件的</w:t>
            </w:r>
          </w:p>
          <w:p>
            <w:pPr>
              <w:spacing w:line="360" w:lineRule="auto"/>
              <w:jc w:val="center"/>
              <w:rPr>
                <w:rFonts w:ascii="宋体" w:hAnsi="宋体"/>
                <w:color w:val="auto"/>
                <w:sz w:val="24"/>
                <w:highlight w:val="none"/>
              </w:rPr>
            </w:pPr>
            <w:r>
              <w:rPr>
                <w:rFonts w:hint="eastAsia" w:ascii="宋体" w:hAnsi="宋体"/>
                <w:color w:val="auto"/>
                <w:sz w:val="24"/>
                <w:highlight w:val="none"/>
              </w:rPr>
              <w:t>商务条款</w:t>
            </w:r>
          </w:p>
        </w:tc>
        <w:tc>
          <w:tcPr>
            <w:tcW w:w="1418" w:type="dxa"/>
          </w:tcPr>
          <w:p>
            <w:pPr>
              <w:spacing w:line="360" w:lineRule="auto"/>
              <w:jc w:val="center"/>
              <w:rPr>
                <w:rFonts w:ascii="宋体" w:hAnsi="宋体"/>
                <w:color w:val="auto"/>
                <w:sz w:val="24"/>
                <w:highlight w:val="none"/>
              </w:rPr>
            </w:pPr>
            <w:r>
              <w:rPr>
                <w:rFonts w:hint="eastAsia" w:ascii="宋体" w:hAnsi="宋体"/>
                <w:color w:val="auto"/>
                <w:sz w:val="24"/>
                <w:highlight w:val="none"/>
              </w:rPr>
              <w:t>偏离</w:t>
            </w:r>
          </w:p>
          <w:p>
            <w:pPr>
              <w:spacing w:line="360" w:lineRule="auto"/>
              <w:jc w:val="center"/>
              <w:rPr>
                <w:rFonts w:ascii="宋体" w:hAnsi="宋体"/>
                <w:color w:val="auto"/>
                <w:sz w:val="24"/>
                <w:highlight w:val="none"/>
              </w:rPr>
            </w:pPr>
            <w:r>
              <w:rPr>
                <w:rFonts w:hint="eastAsia" w:ascii="宋体" w:hAnsi="宋体"/>
                <w:color w:val="auto"/>
                <w:sz w:val="24"/>
                <w:highlight w:val="none"/>
              </w:rPr>
              <w:t>情况</w:t>
            </w:r>
          </w:p>
        </w:tc>
        <w:tc>
          <w:tcPr>
            <w:tcW w:w="1276"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bl>
    <w:p>
      <w:pPr>
        <w:pStyle w:val="13"/>
        <w:spacing w:line="360" w:lineRule="auto"/>
        <w:rPr>
          <w:rFonts w:hAnsi="宋体"/>
          <w:color w:val="auto"/>
          <w:sz w:val="24"/>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pStyle w:val="13"/>
        <w:spacing w:line="360" w:lineRule="auto"/>
        <w:rPr>
          <w:rFonts w:hAnsi="宋体"/>
          <w:color w:val="auto"/>
          <w:sz w:val="24"/>
          <w:highlight w:val="none"/>
        </w:rPr>
      </w:pPr>
    </w:p>
    <w:p>
      <w:pPr>
        <w:pStyle w:val="13"/>
        <w:spacing w:line="360" w:lineRule="auto"/>
        <w:rPr>
          <w:rFonts w:hAnsi="宋体"/>
          <w:color w:val="auto"/>
          <w:sz w:val="24"/>
          <w:szCs w:val="24"/>
          <w:highlight w:val="none"/>
        </w:rPr>
      </w:pPr>
      <w:r>
        <w:rPr>
          <w:rFonts w:hAnsi="宋体"/>
          <w:color w:val="auto"/>
          <w:sz w:val="24"/>
          <w:szCs w:val="24"/>
          <w:highlight w:val="none"/>
        </w:rPr>
        <w:t>注：</w:t>
      </w:r>
      <w:r>
        <w:rPr>
          <w:rFonts w:hint="eastAsia" w:hAnsi="宋体"/>
          <w:color w:val="auto"/>
          <w:sz w:val="24"/>
          <w:highlight w:val="none"/>
        </w:rPr>
        <w:t>单一来源供应商</w:t>
      </w:r>
      <w:r>
        <w:rPr>
          <w:rFonts w:hAnsi="宋体"/>
          <w:color w:val="auto"/>
          <w:sz w:val="24"/>
          <w:szCs w:val="24"/>
          <w:highlight w:val="none"/>
        </w:rPr>
        <w:t>如果对包括交货期、付款方式/条件、质保期及合同条款在内的商务条款的响应有任何偏离，请在本表中详细填写；如对商务条款没有偏离，请注明“无偏离”。</w:t>
      </w:r>
    </w:p>
    <w:p>
      <w:pPr>
        <w:widowControl/>
        <w:jc w:val="left"/>
        <w:rPr>
          <w:rFonts w:ascii="宋体" w:hAnsi="宋体"/>
          <w:color w:val="auto"/>
          <w:sz w:val="24"/>
          <w:highlight w:val="none"/>
        </w:rPr>
      </w:pPr>
      <w:r>
        <w:rPr>
          <w:rFonts w:hAnsi="宋体"/>
          <w:color w:val="auto"/>
          <w:sz w:val="24"/>
          <w:highlight w:val="none"/>
        </w:rPr>
        <w:br w:type="page"/>
      </w:r>
    </w:p>
    <w:p>
      <w:pPr>
        <w:pStyle w:val="3"/>
        <w:spacing w:before="0" w:line="360" w:lineRule="auto"/>
        <w:rPr>
          <w:rFonts w:ascii="宋体" w:hAnsi="宋体" w:eastAsia="宋体"/>
          <w:color w:val="auto"/>
          <w:sz w:val="32"/>
          <w:szCs w:val="32"/>
          <w:highlight w:val="none"/>
        </w:rPr>
      </w:pPr>
      <w:bookmarkStart w:id="306" w:name="_Toc434916159"/>
      <w:bookmarkStart w:id="307" w:name="_Ref467988543"/>
      <w:bookmarkStart w:id="308" w:name="_Toc480942355"/>
      <w:bookmarkStart w:id="309" w:name="_Toc520356224"/>
      <w:r>
        <w:rPr>
          <w:rFonts w:hint="eastAsia" w:ascii="宋体" w:hAnsi="宋体" w:eastAsia="宋体"/>
          <w:color w:val="auto"/>
          <w:sz w:val="32"/>
          <w:szCs w:val="32"/>
          <w:highlight w:val="none"/>
        </w:rPr>
        <w:t>附件</w:t>
      </w:r>
      <w:r>
        <w:rPr>
          <w:rFonts w:ascii="宋体" w:hAnsi="宋体" w:eastAsia="宋体"/>
          <w:color w:val="auto"/>
          <w:sz w:val="32"/>
          <w:szCs w:val="32"/>
          <w:highlight w:val="none"/>
        </w:rPr>
        <w:t xml:space="preserve">6  </w:t>
      </w:r>
      <w:r>
        <w:rPr>
          <w:rFonts w:hint="eastAsia" w:ascii="宋体" w:hAnsi="宋体" w:eastAsia="宋体"/>
          <w:color w:val="auto"/>
          <w:sz w:val="32"/>
          <w:szCs w:val="32"/>
          <w:highlight w:val="none"/>
        </w:rPr>
        <w:t>法定代表人授权书(格式)</w:t>
      </w:r>
      <w:bookmarkEnd w:id="306"/>
    </w:p>
    <w:p>
      <w:pPr>
        <w:pStyle w:val="13"/>
        <w:tabs>
          <w:tab w:val="left" w:pos="5580"/>
        </w:tabs>
        <w:spacing w:line="360" w:lineRule="auto"/>
        <w:rPr>
          <w:rFonts w:hAnsi="宋体"/>
          <w:color w:val="auto"/>
          <w:sz w:val="24"/>
          <w:highlight w:val="none"/>
        </w:rPr>
      </w:pPr>
    </w:p>
    <w:p>
      <w:pPr>
        <w:spacing w:line="360" w:lineRule="auto"/>
        <w:jc w:val="center"/>
        <w:rPr>
          <w:rFonts w:ascii="宋体" w:hAnsi="宋体"/>
          <w:b/>
          <w:bCs/>
          <w:color w:val="auto"/>
          <w:sz w:val="32"/>
          <w:szCs w:val="32"/>
          <w:highlight w:val="none"/>
        </w:rPr>
      </w:pPr>
      <w:r>
        <w:rPr>
          <w:rFonts w:hint="eastAsia" w:hAnsi="宋体"/>
          <w:color w:val="auto"/>
          <w:sz w:val="24"/>
          <w:highlight w:val="none"/>
        </w:rPr>
        <w:t xml:space="preserve">    </w:t>
      </w:r>
      <w:r>
        <w:rPr>
          <w:rFonts w:hint="eastAsia" w:ascii="宋体" w:hAnsi="宋体"/>
          <w:b/>
          <w:bCs/>
          <w:color w:val="auto"/>
          <w:sz w:val="32"/>
          <w:szCs w:val="32"/>
          <w:highlight w:val="none"/>
        </w:rPr>
        <w:t>法定代表人授权书</w:t>
      </w:r>
    </w:p>
    <w:p>
      <w:pPr>
        <w:spacing w:line="360" w:lineRule="auto"/>
        <w:rPr>
          <w:rFonts w:ascii="宋体" w:hAnsi="宋体"/>
          <w:color w:val="auto"/>
          <w:sz w:val="24"/>
          <w:highlight w:val="none"/>
        </w:rPr>
      </w:pPr>
    </w:p>
    <w:p>
      <w:pPr>
        <w:spacing w:line="360" w:lineRule="auto"/>
        <w:ind w:firstLine="435"/>
        <w:rPr>
          <w:rFonts w:ascii="宋体" w:hAnsi="宋体"/>
          <w:color w:val="auto"/>
          <w:sz w:val="24"/>
          <w:highlight w:val="none"/>
        </w:rPr>
      </w:pPr>
      <w:r>
        <w:rPr>
          <w:rFonts w:hint="eastAsia" w:ascii="宋体" w:hAnsi="宋体"/>
          <w:color w:val="auto"/>
          <w:sz w:val="24"/>
          <w:highlight w:val="none"/>
        </w:rPr>
        <w:t>本授权书声明：注册于（国家或地区的名称）的</w:t>
      </w:r>
      <w:r>
        <w:rPr>
          <w:rFonts w:hint="eastAsia" w:ascii="宋体" w:hAnsi="宋体"/>
          <w:color w:val="auto"/>
          <w:sz w:val="24"/>
          <w:highlight w:val="none"/>
          <w:u w:val="single"/>
        </w:rPr>
        <w:t>（</w:t>
      </w:r>
      <w:r>
        <w:rPr>
          <w:rFonts w:hint="eastAsia" w:hAnsi="宋体"/>
          <w:color w:val="auto"/>
          <w:sz w:val="24"/>
          <w:highlight w:val="none"/>
          <w:u w:val="single"/>
        </w:rPr>
        <w:t>单一来源供应商</w:t>
      </w:r>
      <w:r>
        <w:rPr>
          <w:rFonts w:hint="eastAsia" w:ascii="宋体" w:hAnsi="宋体"/>
          <w:color w:val="auto"/>
          <w:sz w:val="24"/>
          <w:highlight w:val="none"/>
          <w:u w:val="single"/>
        </w:rPr>
        <w:t>名称）</w:t>
      </w:r>
      <w:r>
        <w:rPr>
          <w:rFonts w:hint="eastAsia" w:ascii="宋体" w:hAnsi="宋体"/>
          <w:color w:val="auto"/>
          <w:sz w:val="24"/>
          <w:highlight w:val="none"/>
        </w:rPr>
        <w:t>的在下面签字的</w:t>
      </w:r>
      <w:r>
        <w:rPr>
          <w:rFonts w:hint="eastAsia" w:ascii="宋体" w:hAnsi="宋体"/>
          <w:color w:val="auto"/>
          <w:sz w:val="24"/>
          <w:highlight w:val="none"/>
          <w:u w:val="single"/>
        </w:rPr>
        <w:t>（法定代表人姓名、职务、身份证号码）</w:t>
      </w:r>
      <w:r>
        <w:rPr>
          <w:rFonts w:hint="eastAsia" w:ascii="宋体" w:hAnsi="宋体"/>
          <w:color w:val="auto"/>
          <w:sz w:val="24"/>
          <w:highlight w:val="none"/>
        </w:rPr>
        <w:t>代表本公司授权的在下面签字的</w:t>
      </w:r>
      <w:r>
        <w:rPr>
          <w:rFonts w:hint="eastAsia" w:ascii="宋体" w:hAnsi="宋体"/>
          <w:color w:val="auto"/>
          <w:sz w:val="24"/>
          <w:highlight w:val="none"/>
          <w:u w:val="single"/>
        </w:rPr>
        <w:t>（被授权人的姓名、职务、身份证号码）</w:t>
      </w:r>
      <w:r>
        <w:rPr>
          <w:rFonts w:hint="eastAsia" w:ascii="宋体" w:hAnsi="宋体"/>
          <w:color w:val="auto"/>
          <w:sz w:val="24"/>
          <w:highlight w:val="none"/>
        </w:rPr>
        <w:t>为本公司的合法代理人，就</w:t>
      </w:r>
      <w:r>
        <w:rPr>
          <w:rFonts w:hint="eastAsia" w:ascii="宋体" w:hAnsi="宋体"/>
          <w:color w:val="auto"/>
          <w:sz w:val="24"/>
          <w:highlight w:val="none"/>
          <w:u w:val="single"/>
        </w:rPr>
        <w:t xml:space="preserve">                </w:t>
      </w:r>
      <w:r>
        <w:rPr>
          <w:rFonts w:hint="eastAsia" w:ascii="宋体" w:hAnsi="宋体"/>
          <w:color w:val="auto"/>
          <w:sz w:val="24"/>
          <w:highlight w:val="none"/>
        </w:rPr>
        <w:t>项目（项目编号[包号]：</w:t>
      </w:r>
      <w:r>
        <w:rPr>
          <w:rFonts w:hint="eastAsia" w:ascii="宋体" w:hAnsi="宋体"/>
          <w:color w:val="auto"/>
          <w:sz w:val="24"/>
          <w:highlight w:val="none"/>
          <w:u w:val="single"/>
        </w:rPr>
        <w:t xml:space="preserve">                ）的</w:t>
      </w:r>
      <w:r>
        <w:rPr>
          <w:rFonts w:ascii="宋体" w:hAnsi="宋体"/>
          <w:color w:val="auto"/>
          <w:sz w:val="24"/>
          <w:highlight w:val="none"/>
        </w:rPr>
        <w:t>采购（含投标和转为其他方式），以本公司名义处理一切与之有关的事务。</w:t>
      </w:r>
      <w:r>
        <w:rPr>
          <w:rFonts w:hint="eastAsia" w:ascii="宋体" w:hAnsi="宋体"/>
          <w:color w:val="auto"/>
          <w:sz w:val="24"/>
          <w:highlight w:val="none"/>
        </w:rPr>
        <w:t>我公司对被授权人的签名负全部法律责任。</w:t>
      </w:r>
    </w:p>
    <w:p>
      <w:pPr>
        <w:spacing w:line="360" w:lineRule="auto"/>
        <w:ind w:firstLine="435"/>
        <w:rPr>
          <w:rFonts w:ascii="宋体" w:hAnsi="宋体"/>
          <w:color w:val="auto"/>
          <w:sz w:val="24"/>
          <w:highlight w:val="none"/>
        </w:rPr>
      </w:pPr>
      <w:r>
        <w:rPr>
          <w:rFonts w:hint="eastAsia" w:ascii="宋体" w:hAnsi="宋体"/>
          <w:color w:val="auto"/>
          <w:sz w:val="24"/>
          <w:highlight w:val="none"/>
        </w:rPr>
        <w:t>本授权书于</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日盖章生效，特此声明。</w:t>
      </w:r>
    </w:p>
    <w:p>
      <w:pPr>
        <w:spacing w:line="360" w:lineRule="auto"/>
        <w:ind w:firstLine="435"/>
        <w:rPr>
          <w:rFonts w:ascii="宋体" w:hAnsi="宋体"/>
          <w:color w:val="auto"/>
          <w:sz w:val="24"/>
          <w:highlight w:val="none"/>
        </w:rPr>
      </w:pPr>
    </w:p>
    <w:p>
      <w:pPr>
        <w:spacing w:line="360" w:lineRule="auto"/>
        <w:ind w:firstLine="435"/>
        <w:rPr>
          <w:rFonts w:ascii="宋体" w:hAnsi="宋体"/>
          <w:color w:val="auto"/>
          <w:sz w:val="24"/>
          <w:highlight w:val="none"/>
          <w:u w:val="single"/>
        </w:rPr>
      </w:pPr>
      <w:r>
        <w:rPr>
          <w:rFonts w:hint="eastAsia" w:ascii="宋体" w:hAnsi="宋体"/>
          <w:color w:val="auto"/>
          <w:sz w:val="24"/>
          <w:highlight w:val="none"/>
        </w:rPr>
        <w:t>法定代表人签字或盖章：</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u w:val="single"/>
        </w:rPr>
      </w:pPr>
      <w:r>
        <w:rPr>
          <w:rFonts w:hint="eastAsia" w:hAnsi="宋体"/>
          <w:color w:val="auto"/>
          <w:sz w:val="24"/>
          <w:highlight w:val="none"/>
        </w:rPr>
        <w:t>授权代表</w:t>
      </w:r>
      <w:r>
        <w:rPr>
          <w:rFonts w:hint="eastAsia" w:ascii="宋体" w:hAnsi="宋体"/>
          <w:color w:val="auto"/>
          <w:sz w:val="24"/>
          <w:highlight w:val="none"/>
        </w:rPr>
        <w:t>签字：</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u w:val="single"/>
        </w:rPr>
      </w:pPr>
      <w:r>
        <w:rPr>
          <w:rFonts w:hint="eastAsia" w:hAnsi="宋体"/>
          <w:color w:val="auto"/>
          <w:sz w:val="24"/>
          <w:highlight w:val="none"/>
        </w:rPr>
        <w:t>单一来源供应商</w:t>
      </w:r>
      <w:r>
        <w:rPr>
          <w:rFonts w:hint="eastAsia" w:ascii="宋体" w:hAnsi="宋体"/>
          <w:color w:val="auto"/>
          <w:sz w:val="24"/>
          <w:highlight w:val="none"/>
        </w:rPr>
        <w:t>名称（公章）：</w:t>
      </w:r>
      <w:r>
        <w:rPr>
          <w:rFonts w:hint="eastAsia" w:ascii="宋体" w:hAnsi="宋体"/>
          <w:color w:val="auto"/>
          <w:sz w:val="24"/>
          <w:highlight w:val="none"/>
          <w:u w:val="single"/>
        </w:rPr>
        <w:t xml:space="preserve">                      </w:t>
      </w:r>
    </w:p>
    <w:p>
      <w:pPr>
        <w:spacing w:line="360" w:lineRule="auto"/>
        <w:ind w:firstLine="435"/>
        <w:rPr>
          <w:rFonts w:ascii="宋体" w:hAnsi="宋体"/>
          <w:color w:val="auto"/>
          <w:highlight w:val="none"/>
        </w:rPr>
      </w:pPr>
    </w:p>
    <w:p>
      <w:pPr>
        <w:spacing w:line="360" w:lineRule="auto"/>
        <w:ind w:firstLine="435"/>
        <w:rPr>
          <w:rFonts w:ascii="宋体" w:hAnsi="宋体"/>
          <w:color w:val="auto"/>
          <w:sz w:val="24"/>
          <w:highlight w:val="none"/>
        </w:rPr>
      </w:pPr>
      <w:r>
        <w:rPr>
          <w:rFonts w:hint="eastAsia" w:ascii="宋体" w:hAnsi="宋体"/>
          <w:color w:val="auto"/>
          <w:sz w:val="24"/>
          <w:highlight w:val="none"/>
        </w:rPr>
        <w:t>附：</w:t>
      </w:r>
    </w:p>
    <w:p>
      <w:pPr>
        <w:spacing w:line="360" w:lineRule="auto"/>
        <w:ind w:firstLine="435"/>
        <w:rPr>
          <w:rFonts w:ascii="宋体" w:hAnsi="宋体"/>
          <w:color w:val="auto"/>
          <w:sz w:val="24"/>
          <w:highlight w:val="none"/>
          <w:u w:val="single"/>
        </w:rPr>
      </w:pPr>
      <w:r>
        <w:rPr>
          <w:rFonts w:hint="eastAsia" w:ascii="宋体" w:hAnsi="宋体"/>
          <w:color w:val="auto"/>
          <w:sz w:val="24"/>
          <w:highlight w:val="none"/>
        </w:rPr>
        <w:t>被授权人姓名：</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详细通讯地址：</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邮 政  编 码：</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u w:val="single"/>
        </w:rPr>
      </w:pPr>
      <w:r>
        <w:rPr>
          <w:rFonts w:hint="eastAsia" w:ascii="宋体" w:hAnsi="宋体"/>
          <w:color w:val="auto"/>
          <w:sz w:val="24"/>
          <w:highlight w:val="none"/>
        </w:rPr>
        <w:t>手        机：</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u w:val="single"/>
        </w:rPr>
      </w:pPr>
    </w:p>
    <w:p>
      <w:pPr>
        <w:spacing w:line="360" w:lineRule="auto"/>
        <w:rPr>
          <w:rFonts w:ascii="宋体" w:hAnsi="宋体"/>
          <w:color w:val="auto"/>
          <w:sz w:val="24"/>
          <w:highlight w:val="none"/>
        </w:rPr>
        <w:sectPr>
          <w:pgSz w:w="11906" w:h="16838"/>
          <w:pgMar w:top="1440" w:right="1797" w:bottom="1440" w:left="1797" w:header="851" w:footer="992" w:gutter="0"/>
          <w:cols w:space="720" w:num="1"/>
          <w:docGrid w:linePitch="312" w:charSpace="0"/>
        </w:sectPr>
      </w:pPr>
    </w:p>
    <w:bookmarkEnd w:id="307"/>
    <w:bookmarkEnd w:id="308"/>
    <w:bookmarkEnd w:id="309"/>
    <w:p>
      <w:pPr>
        <w:pStyle w:val="3"/>
        <w:spacing w:before="0"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附件</w:t>
      </w:r>
      <w:r>
        <w:rPr>
          <w:rFonts w:ascii="宋体" w:hAnsi="宋体" w:eastAsia="宋体"/>
          <w:color w:val="auto"/>
          <w:sz w:val="32"/>
          <w:szCs w:val="32"/>
          <w:highlight w:val="none"/>
        </w:rPr>
        <w:t xml:space="preserve">7  </w:t>
      </w:r>
      <w:r>
        <w:rPr>
          <w:rFonts w:hint="eastAsia" w:ascii="宋体" w:hAnsi="宋体" w:eastAsia="宋体"/>
          <w:color w:val="auto"/>
          <w:sz w:val="32"/>
          <w:szCs w:val="32"/>
          <w:highlight w:val="none"/>
        </w:rPr>
        <w:t>投标人承诺书</w:t>
      </w:r>
    </w:p>
    <w:p>
      <w:pPr>
        <w:pStyle w:val="5"/>
        <w:spacing w:before="0" w:after="0" w:line="360" w:lineRule="auto"/>
        <w:ind w:right="21"/>
        <w:rPr>
          <w:rFonts w:hAnsi="宋体"/>
          <w:color w:val="auto"/>
          <w:szCs w:val="24"/>
          <w:highlight w:val="none"/>
        </w:rPr>
      </w:pPr>
      <w:r>
        <w:rPr>
          <w:rFonts w:hint="eastAsia" w:hAnsi="宋体"/>
          <w:color w:val="auto"/>
          <w:szCs w:val="24"/>
          <w:highlight w:val="none"/>
        </w:rPr>
        <w:t>致：</w:t>
      </w:r>
      <w:r>
        <w:rPr>
          <w:rFonts w:hint="eastAsia" w:hAnsi="宋体"/>
          <w:color w:val="auto"/>
          <w:highlight w:val="none"/>
        </w:rPr>
        <w:t>南京农业大学</w:t>
      </w:r>
    </w:p>
    <w:p>
      <w:pPr>
        <w:pStyle w:val="5"/>
        <w:spacing w:before="0" w:after="0" w:line="360" w:lineRule="auto"/>
        <w:ind w:right="21" w:firstLine="482" w:firstLineChars="200"/>
        <w:rPr>
          <w:rFonts w:hAnsi="宋体"/>
          <w:color w:val="auto"/>
          <w:szCs w:val="24"/>
          <w:highlight w:val="none"/>
        </w:rPr>
      </w:pPr>
      <w:r>
        <w:rPr>
          <w:rFonts w:hint="eastAsia" w:hAnsi="宋体"/>
          <w:color w:val="auto"/>
          <w:szCs w:val="24"/>
          <w:highlight w:val="none"/>
        </w:rPr>
        <w:t>投标人承诺不存在</w:t>
      </w:r>
      <w:r>
        <w:rPr>
          <w:rFonts w:hAnsi="宋体"/>
          <w:color w:val="auto"/>
          <w:szCs w:val="24"/>
          <w:highlight w:val="none"/>
        </w:rPr>
        <w:t>下列情形之一</w:t>
      </w:r>
      <w:r>
        <w:rPr>
          <w:rFonts w:hint="eastAsia" w:hAnsi="宋体"/>
          <w:color w:val="auto"/>
          <w:szCs w:val="24"/>
          <w:highlight w:val="none"/>
        </w:rPr>
        <w:t>：</w:t>
      </w:r>
    </w:p>
    <w:p>
      <w:pPr>
        <w:pStyle w:val="8"/>
        <w:snapToGrid w:val="0"/>
        <w:spacing w:before="0" w:line="360" w:lineRule="auto"/>
        <w:ind w:right="108" w:firstLine="480" w:firstLineChars="200"/>
        <w:rPr>
          <w:color w:val="auto"/>
          <w:highlight w:val="none"/>
        </w:rPr>
      </w:pPr>
      <w:r>
        <w:rPr>
          <w:color w:val="auto"/>
          <w:highlight w:val="none"/>
        </w:rPr>
        <w:t>（1）</w:t>
      </w:r>
      <w:r>
        <w:rPr>
          <w:rFonts w:hint="eastAsia"/>
          <w:color w:val="auto"/>
          <w:highlight w:val="none"/>
        </w:rPr>
        <w:t>为采购单位</w:t>
      </w:r>
      <w:r>
        <w:rPr>
          <w:color w:val="auto"/>
          <w:highlight w:val="none"/>
        </w:rPr>
        <w:t>不具有独立法人资格的附属机构</w:t>
      </w:r>
      <w:r>
        <w:rPr>
          <w:rFonts w:hint="eastAsia"/>
          <w:color w:val="auto"/>
          <w:highlight w:val="none"/>
        </w:rPr>
        <w:t>（单位）；</w:t>
      </w:r>
    </w:p>
    <w:p>
      <w:pPr>
        <w:pStyle w:val="8"/>
        <w:snapToGrid w:val="0"/>
        <w:spacing w:before="0" w:line="360" w:lineRule="auto"/>
        <w:ind w:right="108" w:firstLine="480" w:firstLineChars="200"/>
        <w:rPr>
          <w:color w:val="auto"/>
          <w:highlight w:val="none"/>
        </w:rPr>
      </w:pPr>
      <w:r>
        <w:rPr>
          <w:color w:val="auto"/>
          <w:highlight w:val="none"/>
        </w:rPr>
        <w:t>（2）</w:t>
      </w:r>
      <w:r>
        <w:rPr>
          <w:rFonts w:hint="eastAsia"/>
          <w:color w:val="auto"/>
          <w:highlight w:val="none"/>
        </w:rPr>
        <w:t>与采购单位</w:t>
      </w:r>
      <w:r>
        <w:rPr>
          <w:color w:val="auto"/>
          <w:highlight w:val="none"/>
        </w:rPr>
        <w:t>存在利害关系且可能影响</w:t>
      </w:r>
      <w:r>
        <w:rPr>
          <w:rFonts w:hint="eastAsia"/>
          <w:color w:val="auto"/>
          <w:highlight w:val="none"/>
        </w:rPr>
        <w:t>采购</w:t>
      </w:r>
      <w:r>
        <w:rPr>
          <w:color w:val="auto"/>
          <w:highlight w:val="none"/>
        </w:rPr>
        <w:t>公正性；</w:t>
      </w:r>
    </w:p>
    <w:p>
      <w:pPr>
        <w:pStyle w:val="8"/>
        <w:snapToGrid w:val="0"/>
        <w:spacing w:before="0" w:line="360" w:lineRule="auto"/>
        <w:ind w:right="108" w:firstLine="480" w:firstLineChars="200"/>
        <w:rPr>
          <w:color w:val="auto"/>
          <w:highlight w:val="none"/>
        </w:rPr>
      </w:pPr>
      <w:r>
        <w:rPr>
          <w:color w:val="auto"/>
          <w:highlight w:val="none"/>
        </w:rPr>
        <w:t>（3）</w:t>
      </w:r>
      <w:r>
        <w:rPr>
          <w:rFonts w:hint="eastAsia"/>
          <w:color w:val="auto"/>
          <w:highlight w:val="none"/>
        </w:rPr>
        <w:t>与本采购</w:t>
      </w:r>
      <w:r>
        <w:rPr>
          <w:color w:val="auto"/>
          <w:highlight w:val="none"/>
        </w:rPr>
        <w:t>项目的</w:t>
      </w:r>
      <w:r>
        <w:rPr>
          <w:rFonts w:hint="eastAsia"/>
          <w:color w:val="auto"/>
          <w:highlight w:val="none"/>
        </w:rPr>
        <w:t>采购单位</w:t>
      </w:r>
      <w:r>
        <w:rPr>
          <w:color w:val="auto"/>
          <w:highlight w:val="none"/>
        </w:rPr>
        <w:t>为</w:t>
      </w:r>
      <w:r>
        <w:rPr>
          <w:rFonts w:hint="eastAsia"/>
          <w:color w:val="auto"/>
          <w:highlight w:val="none"/>
        </w:rPr>
        <w:t>同一</w:t>
      </w:r>
      <w:r>
        <w:rPr>
          <w:color w:val="auto"/>
          <w:highlight w:val="none"/>
        </w:rPr>
        <w:t>法定代表人；</w:t>
      </w:r>
    </w:p>
    <w:p>
      <w:pPr>
        <w:pStyle w:val="8"/>
        <w:snapToGrid w:val="0"/>
        <w:spacing w:before="0" w:line="360" w:lineRule="auto"/>
        <w:ind w:right="108" w:firstLine="480" w:firstLineChars="200"/>
        <w:rPr>
          <w:color w:val="auto"/>
          <w:highlight w:val="none"/>
        </w:rPr>
      </w:pPr>
      <w:r>
        <w:rPr>
          <w:color w:val="auto"/>
          <w:highlight w:val="none"/>
        </w:rPr>
        <w:t>（4）与本</w:t>
      </w:r>
      <w:r>
        <w:rPr>
          <w:rFonts w:hint="eastAsia"/>
          <w:color w:val="auto"/>
          <w:highlight w:val="none"/>
        </w:rPr>
        <w:t>采购</w:t>
      </w:r>
      <w:r>
        <w:rPr>
          <w:color w:val="auto"/>
          <w:highlight w:val="none"/>
        </w:rPr>
        <w:t>项目的</w:t>
      </w:r>
      <w:r>
        <w:rPr>
          <w:rFonts w:hint="eastAsia"/>
          <w:color w:val="auto"/>
          <w:highlight w:val="none"/>
        </w:rPr>
        <w:t>采购单位</w:t>
      </w:r>
      <w:r>
        <w:rPr>
          <w:color w:val="auto"/>
          <w:highlight w:val="none"/>
        </w:rPr>
        <w:t>存在控股或参股关系；</w:t>
      </w:r>
    </w:p>
    <w:p>
      <w:pPr>
        <w:pStyle w:val="8"/>
        <w:snapToGrid w:val="0"/>
        <w:spacing w:before="0" w:line="360" w:lineRule="auto"/>
        <w:ind w:right="108" w:firstLine="480" w:firstLineChars="200"/>
        <w:rPr>
          <w:color w:val="auto"/>
          <w:highlight w:val="none"/>
        </w:rPr>
      </w:pPr>
      <w:r>
        <w:rPr>
          <w:color w:val="auto"/>
          <w:highlight w:val="none"/>
        </w:rPr>
        <w:t>（5）被依法暂停或者取消投标资格；</w:t>
      </w:r>
    </w:p>
    <w:p>
      <w:pPr>
        <w:pStyle w:val="8"/>
        <w:snapToGrid w:val="0"/>
        <w:spacing w:before="0" w:line="360" w:lineRule="auto"/>
        <w:ind w:right="108" w:firstLine="480" w:firstLineChars="200"/>
        <w:rPr>
          <w:color w:val="auto"/>
          <w:highlight w:val="none"/>
        </w:rPr>
      </w:pPr>
      <w:r>
        <w:rPr>
          <w:color w:val="auto"/>
          <w:highlight w:val="none"/>
        </w:rPr>
        <w:t>（6）被责令停产停业、暂扣或者吊销许可证、暂扣或者吊销执照；进入清算程序，或被宣告破产，或其他丧失履约能力的情形；</w:t>
      </w:r>
    </w:p>
    <w:p>
      <w:pPr>
        <w:pStyle w:val="8"/>
        <w:snapToGrid w:val="0"/>
        <w:spacing w:before="0" w:line="360" w:lineRule="auto"/>
        <w:ind w:right="108" w:firstLine="480" w:firstLineChars="200"/>
        <w:rPr>
          <w:color w:val="auto"/>
          <w:highlight w:val="none"/>
        </w:rPr>
      </w:pPr>
      <w:r>
        <w:rPr>
          <w:rFonts w:hint="eastAsia"/>
          <w:color w:val="auto"/>
          <w:highlight w:val="none"/>
        </w:rPr>
        <w:t>（</w:t>
      </w:r>
      <w:r>
        <w:rPr>
          <w:color w:val="auto"/>
          <w:highlight w:val="none"/>
        </w:rPr>
        <w:t>7</w:t>
      </w:r>
      <w:r>
        <w:rPr>
          <w:rFonts w:hint="eastAsia"/>
          <w:color w:val="auto"/>
          <w:highlight w:val="none"/>
        </w:rPr>
        <w:t>）</w:t>
      </w:r>
      <w:r>
        <w:rPr>
          <w:color w:val="auto"/>
          <w:highlight w:val="none"/>
        </w:rPr>
        <w:t>在近三年内投标人有骗取中标和严重违约及重大质量问题</w:t>
      </w:r>
      <w:r>
        <w:rPr>
          <w:rFonts w:hint="eastAsia"/>
          <w:color w:val="auto"/>
          <w:highlight w:val="none"/>
        </w:rPr>
        <w:t>；</w:t>
      </w:r>
    </w:p>
    <w:p>
      <w:pPr>
        <w:pStyle w:val="8"/>
        <w:snapToGrid w:val="0"/>
        <w:spacing w:before="0" w:line="360" w:lineRule="auto"/>
        <w:ind w:right="108" w:firstLine="480" w:firstLineChars="200"/>
        <w:rPr>
          <w:color w:val="auto"/>
          <w:highlight w:val="none"/>
        </w:rPr>
      </w:pPr>
      <w:r>
        <w:rPr>
          <w:color w:val="auto"/>
          <w:highlight w:val="none"/>
        </w:rPr>
        <w:t>（8）</w:t>
      </w:r>
      <w:r>
        <w:rPr>
          <w:rFonts w:hint="eastAsia"/>
          <w:color w:val="auto"/>
          <w:highlight w:val="none"/>
        </w:rPr>
        <w:t>在</w:t>
      </w:r>
      <w:r>
        <w:rPr>
          <w:color w:val="auto"/>
          <w:highlight w:val="none"/>
        </w:rPr>
        <w:t>近三年内投标人或其法定代表人、拟委托的项目负责人有行贿犯罪行为的</w:t>
      </w:r>
      <w:r>
        <w:rPr>
          <w:rFonts w:hint="eastAsia"/>
          <w:color w:val="auto"/>
          <w:highlight w:val="none"/>
        </w:rPr>
        <w:t>；</w:t>
      </w:r>
    </w:p>
    <w:p>
      <w:pPr>
        <w:pStyle w:val="8"/>
        <w:snapToGrid w:val="0"/>
        <w:spacing w:before="0" w:line="360" w:lineRule="auto"/>
        <w:ind w:right="108" w:firstLine="480" w:firstLineChars="200"/>
        <w:rPr>
          <w:color w:val="auto"/>
          <w:highlight w:val="none"/>
        </w:rPr>
      </w:pPr>
      <w:r>
        <w:rPr>
          <w:color w:val="auto"/>
          <w:highlight w:val="none"/>
        </w:rPr>
        <w:t>（9）被工商行政管理机关在全国企业信用信息公示系统中列入严重违法失信企业名单；</w:t>
      </w:r>
      <w:r>
        <w:rPr>
          <w:rFonts w:hint="eastAsia"/>
          <w:color w:val="auto"/>
          <w:highlight w:val="none"/>
        </w:rPr>
        <w:t>被</w:t>
      </w:r>
      <w:r>
        <w:rPr>
          <w:color w:val="auto"/>
          <w:highlight w:val="none"/>
        </w:rPr>
        <w:t>最高人民法院在“</w:t>
      </w:r>
      <w:r>
        <w:rPr>
          <w:rFonts w:hint="eastAsia"/>
          <w:color w:val="auto"/>
          <w:highlight w:val="none"/>
        </w:rPr>
        <w:t>信用中国</w:t>
      </w:r>
      <w:r>
        <w:rPr>
          <w:color w:val="auto"/>
          <w:highlight w:val="none"/>
        </w:rPr>
        <w:t>”</w:t>
      </w:r>
      <w:r>
        <w:rPr>
          <w:rFonts w:hint="eastAsia"/>
          <w:color w:val="auto"/>
          <w:highlight w:val="none"/>
        </w:rPr>
        <w:t>网站</w:t>
      </w:r>
      <w:r>
        <w:rPr>
          <w:color w:val="auto"/>
          <w:highlight w:val="none"/>
        </w:rPr>
        <w:t>（</w:t>
      </w:r>
      <w:r>
        <w:rPr>
          <w:rFonts w:hint="eastAsia"/>
          <w:color w:val="auto"/>
          <w:highlight w:val="none"/>
        </w:rPr>
        <w:t>www.creditchina.gov.cn</w:t>
      </w:r>
      <w:r>
        <w:rPr>
          <w:color w:val="auto"/>
          <w:highlight w:val="none"/>
        </w:rPr>
        <w:t>）</w:t>
      </w:r>
      <w:r>
        <w:rPr>
          <w:rFonts w:hint="eastAsia"/>
          <w:color w:val="auto"/>
          <w:highlight w:val="none"/>
        </w:rPr>
        <w:t>或</w:t>
      </w:r>
      <w:r>
        <w:rPr>
          <w:color w:val="auto"/>
          <w:highlight w:val="none"/>
        </w:rPr>
        <w:t>各级信用信息共享平台中列入失信</w:t>
      </w:r>
      <w:r>
        <w:rPr>
          <w:rFonts w:hint="eastAsia"/>
          <w:color w:val="auto"/>
          <w:highlight w:val="none"/>
        </w:rPr>
        <w:t>被</w:t>
      </w:r>
      <w:r>
        <w:rPr>
          <w:color w:val="auto"/>
          <w:highlight w:val="none"/>
        </w:rPr>
        <w:t>执行人名单</w:t>
      </w:r>
      <w:r>
        <w:rPr>
          <w:rFonts w:hint="eastAsia"/>
          <w:color w:val="auto"/>
          <w:highlight w:val="none"/>
        </w:rPr>
        <w:t>；</w:t>
      </w:r>
    </w:p>
    <w:p>
      <w:pPr>
        <w:pStyle w:val="8"/>
        <w:snapToGrid w:val="0"/>
        <w:spacing w:before="0" w:line="360" w:lineRule="auto"/>
        <w:ind w:right="108" w:firstLine="480" w:firstLineChars="200"/>
        <w:rPr>
          <w:color w:val="auto"/>
          <w:highlight w:val="none"/>
        </w:rPr>
      </w:pPr>
      <w:r>
        <w:rPr>
          <w:rFonts w:hint="eastAsia"/>
          <w:color w:val="auto"/>
          <w:highlight w:val="none"/>
        </w:rPr>
        <w:t>（1</w:t>
      </w:r>
      <w:r>
        <w:rPr>
          <w:color w:val="auto"/>
          <w:highlight w:val="none"/>
        </w:rPr>
        <w:t>0</w:t>
      </w:r>
      <w:r>
        <w:rPr>
          <w:rFonts w:hint="eastAsia"/>
          <w:color w:val="auto"/>
          <w:highlight w:val="none"/>
        </w:rPr>
        <w:t>）不符合政府采购法第二十二条第一款规定的要求。</w:t>
      </w:r>
    </w:p>
    <w:p>
      <w:pPr>
        <w:pStyle w:val="8"/>
        <w:snapToGrid w:val="0"/>
        <w:spacing w:before="0" w:line="360" w:lineRule="auto"/>
        <w:ind w:right="108" w:firstLine="480" w:firstLineChars="200"/>
        <w:rPr>
          <w:color w:val="auto"/>
          <w:highlight w:val="none"/>
        </w:rPr>
      </w:pPr>
    </w:p>
    <w:p>
      <w:pPr>
        <w:pStyle w:val="8"/>
        <w:snapToGrid w:val="0"/>
        <w:spacing w:before="0" w:line="360" w:lineRule="auto"/>
        <w:ind w:right="108" w:firstLine="480" w:firstLineChars="200"/>
        <w:rPr>
          <w:color w:val="auto"/>
          <w:highlight w:val="none"/>
        </w:rPr>
      </w:pPr>
    </w:p>
    <w:p>
      <w:pPr>
        <w:pStyle w:val="8"/>
        <w:snapToGrid w:val="0"/>
        <w:spacing w:before="0" w:line="360" w:lineRule="auto"/>
        <w:ind w:right="108" w:firstLine="480" w:firstLineChars="200"/>
        <w:rPr>
          <w:color w:val="auto"/>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widowControl/>
        <w:jc w:val="left"/>
        <w:rPr>
          <w:rFonts w:ascii="宋体" w:hAnsi="宋体"/>
          <w:color w:val="auto"/>
          <w:sz w:val="32"/>
          <w:szCs w:val="32"/>
          <w:highlight w:val="none"/>
        </w:rPr>
      </w:pPr>
      <w:r>
        <w:rPr>
          <w:rFonts w:ascii="宋体" w:hAnsi="宋体"/>
          <w:color w:val="auto"/>
          <w:sz w:val="32"/>
          <w:szCs w:val="32"/>
          <w:highlight w:val="none"/>
        </w:rPr>
        <w:br w:type="page"/>
      </w:r>
    </w:p>
    <w:p>
      <w:pPr>
        <w:pStyle w:val="4"/>
        <w:spacing w:line="360" w:lineRule="auto"/>
        <w:ind w:firstLine="0"/>
        <w:jc w:val="center"/>
        <w:rPr>
          <w:rFonts w:hAnsi="宋体"/>
          <w:b/>
          <w:color w:val="auto"/>
          <w:sz w:val="32"/>
          <w:szCs w:val="32"/>
          <w:highlight w:val="none"/>
        </w:rPr>
      </w:pPr>
      <w:r>
        <w:rPr>
          <w:rFonts w:hint="eastAsia" w:hAnsi="宋体"/>
          <w:b/>
          <w:color w:val="auto"/>
          <w:sz w:val="32"/>
          <w:szCs w:val="32"/>
          <w:highlight w:val="none"/>
        </w:rPr>
        <w:t>附件</w:t>
      </w:r>
      <w:r>
        <w:rPr>
          <w:rFonts w:hAnsi="宋体"/>
          <w:b/>
          <w:color w:val="auto"/>
          <w:sz w:val="32"/>
          <w:szCs w:val="32"/>
          <w:highlight w:val="none"/>
        </w:rPr>
        <w:t xml:space="preserve">9  </w:t>
      </w:r>
      <w:r>
        <w:rPr>
          <w:rFonts w:hint="eastAsia" w:hAnsi="宋体"/>
          <w:b/>
          <w:color w:val="auto"/>
          <w:sz w:val="32"/>
          <w:szCs w:val="32"/>
          <w:highlight w:val="none"/>
        </w:rPr>
        <w:t>单一来源供应商资质情况介绍（如有）</w:t>
      </w:r>
    </w:p>
    <w:p>
      <w:pPr>
        <w:pStyle w:val="4"/>
        <w:spacing w:line="360" w:lineRule="auto"/>
        <w:ind w:firstLine="0"/>
        <w:jc w:val="center"/>
        <w:rPr>
          <w:rFonts w:hAnsi="宋体"/>
          <w:b/>
          <w:color w:val="auto"/>
          <w:sz w:val="32"/>
          <w:szCs w:val="32"/>
          <w:highlight w:val="none"/>
        </w:rPr>
      </w:pPr>
    </w:p>
    <w:p>
      <w:pPr>
        <w:pStyle w:val="11"/>
        <w:spacing w:after="0" w:line="360" w:lineRule="auto"/>
        <w:ind w:left="0" w:leftChars="0" w:firstLine="480" w:firstLineChars="200"/>
        <w:rPr>
          <w:rFonts w:ascii="宋体" w:hAnsi="宋体"/>
          <w:color w:val="auto"/>
          <w:szCs w:val="24"/>
          <w:highlight w:val="none"/>
        </w:rPr>
      </w:pPr>
      <w:r>
        <w:rPr>
          <w:rFonts w:hint="eastAsia" w:ascii="宋体" w:hAnsi="宋体"/>
          <w:color w:val="auto"/>
          <w:szCs w:val="24"/>
          <w:highlight w:val="none"/>
        </w:rPr>
        <w:t>1、基本情况：</w:t>
      </w:r>
    </w:p>
    <w:p>
      <w:pPr>
        <w:pStyle w:val="11"/>
        <w:spacing w:after="0" w:line="360" w:lineRule="auto"/>
        <w:ind w:left="0" w:leftChars="0" w:firstLine="480" w:firstLineChars="200"/>
        <w:rPr>
          <w:rFonts w:ascii="宋体" w:hAnsi="宋体"/>
          <w:color w:val="auto"/>
          <w:szCs w:val="24"/>
          <w:highlight w:val="none"/>
        </w:rPr>
      </w:pPr>
      <w:r>
        <w:rPr>
          <w:rFonts w:hint="eastAsia" w:ascii="宋体" w:hAnsi="宋体"/>
          <w:color w:val="auto"/>
          <w:szCs w:val="24"/>
          <w:highlight w:val="none"/>
        </w:rPr>
        <w:t xml:space="preserve">（1）单一来源供应商名称：                            </w:t>
      </w:r>
    </w:p>
    <w:p>
      <w:pPr>
        <w:tabs>
          <w:tab w:val="left" w:pos="4320"/>
        </w:tabs>
        <w:spacing w:line="360" w:lineRule="auto"/>
        <w:ind w:firstLine="480" w:firstLineChars="200"/>
        <w:rPr>
          <w:rFonts w:ascii="宋体" w:hAnsi="宋体"/>
          <w:color w:val="auto"/>
          <w:sz w:val="24"/>
          <w:highlight w:val="none"/>
        </w:rPr>
      </w:pPr>
      <w:r>
        <w:rPr>
          <w:rFonts w:hint="eastAsia" w:ascii="宋体" w:hAnsi="宋体"/>
          <w:color w:val="auto"/>
          <w:sz w:val="24"/>
          <w:highlight w:val="none"/>
        </w:rPr>
        <w:t>（2）地址：</w:t>
      </w:r>
      <w:r>
        <w:rPr>
          <w:rFonts w:hint="eastAsia" w:ascii="宋体" w:hAnsi="宋体"/>
          <w:color w:val="auto"/>
          <w:sz w:val="24"/>
          <w:highlight w:val="none"/>
          <w:u w:val="single"/>
        </w:rPr>
        <w:t xml:space="preserve">                         </w:t>
      </w:r>
      <w:r>
        <w:rPr>
          <w:rFonts w:hint="eastAsia" w:ascii="宋体" w:hAnsi="宋体"/>
          <w:color w:val="auto"/>
          <w:sz w:val="24"/>
          <w:highlight w:val="none"/>
        </w:rPr>
        <w:tab/>
      </w:r>
      <w:r>
        <w:rPr>
          <w:rFonts w:hint="eastAsia" w:ascii="宋体" w:hAnsi="宋体"/>
          <w:color w:val="auto"/>
          <w:sz w:val="24"/>
          <w:highlight w:val="none"/>
        </w:rPr>
        <w:t>邮编：</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pPr>
        <w:tabs>
          <w:tab w:val="left" w:pos="600"/>
          <w:tab w:val="left" w:pos="4320"/>
        </w:tabs>
        <w:spacing w:line="360" w:lineRule="auto"/>
        <w:ind w:firstLine="1120" w:firstLineChars="467"/>
        <w:rPr>
          <w:rFonts w:ascii="宋体" w:hAnsi="宋体"/>
          <w:color w:val="auto"/>
          <w:sz w:val="24"/>
          <w:highlight w:val="none"/>
        </w:rPr>
      </w:pPr>
      <w:r>
        <w:rPr>
          <w:rFonts w:hint="eastAsia" w:ascii="宋体" w:hAnsi="宋体"/>
          <w:color w:val="auto"/>
          <w:sz w:val="24"/>
          <w:highlight w:val="none"/>
        </w:rPr>
        <w:t>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传真：</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rPr>
      </w:pPr>
      <w:r>
        <w:rPr>
          <w:rFonts w:hint="eastAsia" w:ascii="宋体" w:hAnsi="宋体"/>
          <w:color w:val="auto"/>
          <w:sz w:val="24"/>
          <w:highlight w:val="none"/>
        </w:rPr>
        <w:t>　　</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（3）成立和/或注册日期：                       </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（4）企业性质：                                </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（5）法定代表人：                    </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（6）注册资本：                                 </w:t>
      </w:r>
    </w:p>
    <w:p>
      <w:pPr>
        <w:spacing w:line="360" w:lineRule="auto"/>
        <w:rPr>
          <w:rFonts w:ascii="宋体" w:hAnsi="宋体"/>
          <w:color w:val="auto"/>
          <w:sz w:val="24"/>
          <w:highlight w:val="none"/>
        </w:rPr>
      </w:pPr>
      <w:r>
        <w:rPr>
          <w:rFonts w:hint="eastAsia" w:ascii="宋体" w:hAnsi="宋体"/>
          <w:color w:val="auto"/>
          <w:sz w:val="24"/>
          <w:highlight w:val="none"/>
        </w:rPr>
        <w:t xml:space="preserve">                                </w:t>
      </w:r>
    </w:p>
    <w:p>
      <w:pPr>
        <w:pStyle w:val="8"/>
        <w:spacing w:line="360" w:lineRule="auto"/>
        <w:ind w:firstLine="480" w:firstLineChars="200"/>
        <w:rPr>
          <w:color w:val="auto"/>
          <w:highlight w:val="none"/>
        </w:rPr>
      </w:pPr>
      <w:r>
        <w:rPr>
          <w:rFonts w:hint="eastAsia"/>
          <w:color w:val="auto"/>
          <w:highlight w:val="none"/>
        </w:rPr>
        <w:t>2、企业基本情况介绍（限于1500字内）</w:t>
      </w:r>
    </w:p>
    <w:p>
      <w:pPr>
        <w:pStyle w:val="8"/>
        <w:spacing w:line="360" w:lineRule="auto"/>
        <w:rPr>
          <w:color w:val="auto"/>
          <w:highlight w:val="none"/>
        </w:rPr>
      </w:pPr>
      <w:r>
        <w:rPr>
          <w:rFonts w:hint="eastAsia"/>
          <w:color w:val="auto"/>
          <w:highlight w:val="none"/>
        </w:rPr>
        <w:t xml:space="preserve">    3、2</w:t>
      </w:r>
      <w:r>
        <w:rPr>
          <w:color w:val="auto"/>
          <w:highlight w:val="none"/>
        </w:rPr>
        <w:t>018</w:t>
      </w:r>
      <w:r>
        <w:rPr>
          <w:rFonts w:hint="eastAsia"/>
          <w:color w:val="auto"/>
          <w:highlight w:val="none"/>
        </w:rPr>
        <w:t>、20</w:t>
      </w:r>
      <w:r>
        <w:rPr>
          <w:color w:val="auto"/>
          <w:highlight w:val="none"/>
        </w:rPr>
        <w:t>19</w:t>
      </w:r>
      <w:r>
        <w:rPr>
          <w:rFonts w:hint="eastAsia"/>
          <w:color w:val="auto"/>
          <w:highlight w:val="none"/>
        </w:rPr>
        <w:t>、20</w:t>
      </w:r>
      <w:r>
        <w:rPr>
          <w:color w:val="auto"/>
          <w:highlight w:val="none"/>
        </w:rPr>
        <w:t>20</w:t>
      </w:r>
      <w:r>
        <w:rPr>
          <w:rFonts w:hint="eastAsia"/>
          <w:color w:val="auto"/>
          <w:highlight w:val="none"/>
        </w:rPr>
        <w:t>年营业收入情况</w:t>
      </w:r>
    </w:p>
    <w:p>
      <w:pPr>
        <w:pStyle w:val="8"/>
        <w:spacing w:line="360" w:lineRule="auto"/>
        <w:ind w:firstLine="480" w:firstLineChars="200"/>
        <w:rPr>
          <w:color w:val="auto"/>
          <w:highlight w:val="none"/>
        </w:rPr>
      </w:pPr>
    </w:p>
    <w:p>
      <w:pPr>
        <w:pStyle w:val="8"/>
        <w:spacing w:line="360" w:lineRule="auto"/>
        <w:ind w:firstLine="480" w:firstLineChars="200"/>
        <w:rPr>
          <w:color w:val="auto"/>
          <w:highlight w:val="none"/>
        </w:rPr>
      </w:pPr>
      <w:r>
        <w:rPr>
          <w:rFonts w:hint="eastAsia"/>
          <w:color w:val="auto"/>
          <w:highlight w:val="none"/>
        </w:rPr>
        <w:t>兹证明上述声明是真实的、正确的，并提供了全部能提供的资料和数据，我们同意遵照贵方要求出示有关证明文件。</w:t>
      </w:r>
    </w:p>
    <w:p>
      <w:pPr>
        <w:pStyle w:val="8"/>
        <w:spacing w:line="360" w:lineRule="auto"/>
        <w:ind w:firstLine="480" w:firstLineChars="200"/>
        <w:rPr>
          <w:color w:val="auto"/>
          <w:highlight w:val="none"/>
        </w:rPr>
      </w:pPr>
    </w:p>
    <w:p>
      <w:pPr>
        <w:pStyle w:val="8"/>
        <w:spacing w:line="360" w:lineRule="auto"/>
        <w:ind w:firstLine="480" w:firstLineChars="200"/>
        <w:rPr>
          <w:color w:val="auto"/>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widowControl/>
        <w:jc w:val="left"/>
        <w:rPr>
          <w:color w:val="auto"/>
          <w:sz w:val="24"/>
          <w:highlight w:val="none"/>
        </w:rPr>
      </w:pPr>
    </w:p>
    <w:sectPr>
      <w:footerReference r:id="rId9" w:type="default"/>
      <w:footerReference r:id="rId10" w:type="even"/>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Helvetica-Condensed-Bold">
    <w:altName w:val="黑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Microsoft JhengHei">
    <w:panose1 w:val="020B0604030504040204"/>
    <w:charset w:val="88"/>
    <w:family w:val="swiss"/>
    <w:pitch w:val="default"/>
    <w:sig w:usb0="000002A7" w:usb1="28CF4400" w:usb2="00000016" w:usb3="00000000" w:csb0="00100009" w:csb1="00000000"/>
  </w:font>
  <w:font w:name="PingFang SC Medium">
    <w:altName w:val="微软雅黑"/>
    <w:panose1 w:val="00000000000000000000"/>
    <w:charset w:val="86"/>
    <w:family w:val="swiss"/>
    <w:pitch w:val="default"/>
    <w:sig w:usb0="00000000" w:usb1="00000000" w:usb2="00000017" w:usb3="00000000" w:csb0="00040001" w:csb1="00000000"/>
  </w:font>
  <w:font w:name="微软雅黑">
    <w:panose1 w:val="020B0503020204020204"/>
    <w:charset w:val="86"/>
    <w:family w:val="auto"/>
    <w:pitch w:val="default"/>
    <w:sig w:usb0="80000287" w:usb1="2ACF3C50" w:usb2="00000016" w:usb3="00000000" w:csb0="0004001F" w:csb1="00000000"/>
  </w:font>
  <w:font w:name="PingFang SC Light">
    <w:altName w:val="微软雅黑"/>
    <w:panose1 w:val="00000000000000000000"/>
    <w:charset w:val="86"/>
    <w:family w:val="swiss"/>
    <w:pitch w:val="default"/>
    <w:sig w:usb0="00000000" w:usb1="00000000" w:usb2="00000017" w:usb3="00000000" w:csb0="00040001" w:csb1="00000000"/>
  </w:font>
  <w:font w:name="Apple Symbols">
    <w:altName w:val="Arial"/>
    <w:panose1 w:val="00000000000000000000"/>
    <w:charset w:val="B1"/>
    <w:family w:val="auto"/>
    <w:pitch w:val="default"/>
    <w:sig w:usb0="00000000" w:usb1="00000000" w:usb2="01840034" w:usb3="00000000" w:csb0="000001F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30"/>
      </w:rPr>
      <w:id w:val="2054416164"/>
      <w:docPartObj>
        <w:docPartGallery w:val="AutoText"/>
      </w:docPartObj>
    </w:sdtPr>
    <w:sdtEndPr>
      <w:rPr>
        <w:rStyle w:val="30"/>
      </w:rPr>
    </w:sdtEndPr>
    <w:sdtContent>
      <w:p>
        <w:pPr>
          <w:pStyle w:val="17"/>
          <w:framePr w:wrap="auto" w:vAnchor="text" w:hAnchor="margin" w:xAlign="center" w:y="1"/>
          <w:rPr>
            <w:rStyle w:val="30"/>
          </w:rPr>
        </w:pPr>
        <w:r>
          <w:rPr>
            <w:rStyle w:val="30"/>
          </w:rPr>
          <w:fldChar w:fldCharType="begin"/>
        </w:r>
        <w:r>
          <w:rPr>
            <w:rStyle w:val="30"/>
          </w:rPr>
          <w:instrText xml:space="preserve"> PAGE </w:instrText>
        </w:r>
        <w:r>
          <w:rPr>
            <w:rStyle w:val="30"/>
          </w:rPr>
          <w:fldChar w:fldCharType="separate"/>
        </w:r>
        <w:r>
          <w:rPr>
            <w:rStyle w:val="30"/>
          </w:rPr>
          <w:t>2</w:t>
        </w:r>
        <w:r>
          <w:rPr>
            <w:rStyle w:val="30"/>
          </w:rPr>
          <w:fldChar w:fldCharType="end"/>
        </w:r>
      </w:p>
    </w:sdtContent>
  </w:sdt>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30"/>
      </w:rPr>
      <w:id w:val="468868568"/>
      <w:docPartObj>
        <w:docPartGallery w:val="AutoText"/>
      </w:docPartObj>
    </w:sdtPr>
    <w:sdtEndPr>
      <w:rPr>
        <w:rStyle w:val="30"/>
      </w:rPr>
    </w:sdtEndPr>
    <w:sdtContent>
      <w:p>
        <w:pPr>
          <w:pStyle w:val="17"/>
          <w:framePr w:wrap="auto" w:vAnchor="text" w:hAnchor="margin" w:xAlign="center" w:y="1"/>
          <w:rPr>
            <w:rStyle w:val="30"/>
          </w:rPr>
        </w:pPr>
        <w:r>
          <w:rPr>
            <w:rStyle w:val="30"/>
          </w:rPr>
          <w:fldChar w:fldCharType="begin"/>
        </w:r>
        <w:r>
          <w:rPr>
            <w:rStyle w:val="30"/>
          </w:rPr>
          <w:instrText xml:space="preserve"> PAGE </w:instrText>
        </w:r>
        <w:r>
          <w:rPr>
            <w:rStyle w:val="30"/>
          </w:rPr>
          <w:fldChar w:fldCharType="end"/>
        </w:r>
      </w:p>
    </w:sdtContent>
  </w:sdt>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uto" w:vAnchor="text" w:hAnchor="margin" w:xAlign="center" w:y="1"/>
      <w:rPr>
        <w:rStyle w:val="30"/>
      </w:rPr>
    </w:pPr>
    <w:r>
      <w:fldChar w:fldCharType="begin"/>
    </w:r>
    <w:r>
      <w:rPr>
        <w:rStyle w:val="30"/>
      </w:rPr>
      <w:instrText xml:space="preserve">PAGE  </w:instrText>
    </w:r>
    <w:r>
      <w:fldChar w:fldCharType="separate"/>
    </w:r>
    <w:r>
      <w:rPr>
        <w:rStyle w:val="30"/>
      </w:rPr>
      <w:t>46</w:t>
    </w:r>
    <w:r>
      <w:fldChar w:fldCharType="end"/>
    </w:r>
  </w:p>
  <w:p>
    <w:pPr>
      <w:pStyle w:val="1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uto" w:vAnchor="text" w:hAnchor="margin" w:xAlign="center" w:y="1"/>
      <w:rPr>
        <w:rStyle w:val="30"/>
      </w:rPr>
    </w:pPr>
    <w:r>
      <w:fldChar w:fldCharType="begin"/>
    </w:r>
    <w:r>
      <w:rPr>
        <w:rStyle w:val="30"/>
      </w:rPr>
      <w:instrText xml:space="preserve">PAGE  </w:instrText>
    </w:r>
    <w:r>
      <w:fldChar w:fldCharType="end"/>
    </w:r>
  </w:p>
  <w:p>
    <w:pPr>
      <w:pStyle w:val="17"/>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7"/>
      <w:tblW w:w="37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82"/>
      <w:gridCol w:w="31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trPr>
      <w:tc>
        <w:tcPr>
          <w:tcW w:w="682" w:type="dxa"/>
          <w:vMerge w:val="restart"/>
        </w:tcPr>
        <w:p>
          <w:pPr>
            <w:pStyle w:val="18"/>
            <w:pBdr>
              <w:bottom w:val="none" w:color="auto" w:sz="0" w:space="0"/>
            </w:pBdr>
            <w:jc w:val="both"/>
          </w:pPr>
          <w:r>
            <w:rPr>
              <w:rFonts w:hint="eastAsia"/>
            </w:rPr>
            <w:drawing>
              <wp:inline distT="0" distB="0" distL="0" distR="0">
                <wp:extent cx="295910" cy="290195"/>
                <wp:effectExtent l="0" t="0" r="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21980" cy="315814"/>
                        </a:xfrm>
                        <a:prstGeom prst="rect">
                          <a:avLst/>
                        </a:prstGeom>
                      </pic:spPr>
                    </pic:pic>
                  </a:graphicData>
                </a:graphic>
              </wp:inline>
            </w:drawing>
          </w:r>
        </w:p>
      </w:tc>
      <w:tc>
        <w:tcPr>
          <w:tcW w:w="3117" w:type="dxa"/>
        </w:tcPr>
        <w:p>
          <w:pPr>
            <w:pStyle w:val="18"/>
            <w:pBdr>
              <w:bottom w:val="none" w:color="auto" w:sz="0" w:space="0"/>
            </w:pBdr>
            <w:jc w:val="both"/>
            <w:rPr>
              <w:rFonts w:ascii="PingFang SC Medium" w:hAnsi="PingFang SC Medium" w:eastAsia="PingFang SC Medium"/>
              <w:sz w:val="10"/>
            </w:rPr>
          </w:pPr>
          <w:r>
            <w:rPr>
              <w:rFonts w:hint="eastAsia" w:ascii="PingFang SC Medium" w:hAnsi="PingFang SC Medium" w:eastAsia="PingFang SC Medium"/>
              <w:sz w:val="10"/>
            </w:rPr>
            <w:t>新 华 招 标 有 限 公 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 w:hRule="atLeast"/>
      </w:trPr>
      <w:tc>
        <w:tcPr>
          <w:tcW w:w="682" w:type="dxa"/>
          <w:vMerge w:val="continue"/>
        </w:tcPr>
        <w:p>
          <w:pPr>
            <w:pStyle w:val="18"/>
            <w:pBdr>
              <w:bottom w:val="none" w:color="auto" w:sz="0" w:space="0"/>
            </w:pBdr>
            <w:jc w:val="both"/>
          </w:pPr>
        </w:p>
      </w:tc>
      <w:tc>
        <w:tcPr>
          <w:tcW w:w="3117" w:type="dxa"/>
        </w:tcPr>
        <w:p>
          <w:pPr>
            <w:pStyle w:val="18"/>
            <w:pBdr>
              <w:bottom w:val="none" w:color="auto" w:sz="0" w:space="0"/>
            </w:pBdr>
            <w:jc w:val="both"/>
            <w:rPr>
              <w:rFonts w:ascii="PingFang SC Light" w:hAnsi="PingFang SC Light" w:eastAsia="PingFang SC Light"/>
              <w:sz w:val="10"/>
            </w:rPr>
          </w:pPr>
          <w:r>
            <w:rPr>
              <w:rFonts w:hint="eastAsia" w:ascii="PingFang SC Light" w:hAnsi="PingFang SC Light" w:eastAsia="PingFang SC Light"/>
              <w:sz w:val="10"/>
            </w:rPr>
            <w:t>单 一 来 源 采 购 文 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 w:hRule="atLeast"/>
      </w:trPr>
      <w:tc>
        <w:tcPr>
          <w:tcW w:w="682" w:type="dxa"/>
          <w:vMerge w:val="continue"/>
        </w:tcPr>
        <w:p>
          <w:pPr>
            <w:pStyle w:val="18"/>
            <w:pBdr>
              <w:bottom w:val="none" w:color="auto" w:sz="0" w:space="0"/>
            </w:pBdr>
            <w:jc w:val="both"/>
          </w:pPr>
        </w:p>
      </w:tc>
      <w:tc>
        <w:tcPr>
          <w:tcW w:w="3117" w:type="dxa"/>
        </w:tcPr>
        <w:p>
          <w:pPr>
            <w:pStyle w:val="18"/>
            <w:pBdr>
              <w:bottom w:val="none" w:color="auto" w:sz="0" w:space="0"/>
            </w:pBdr>
            <w:ind w:left="2" w:leftChars="-104" w:hanging="220" w:hangingChars="220"/>
            <w:jc w:val="both"/>
            <w:rPr>
              <w:rFonts w:ascii="Apple Symbols" w:hAnsi="Apple Symbols" w:cs="Apple Symbols"/>
              <w:sz w:val="10"/>
            </w:rPr>
          </w:pPr>
          <w:r>
            <w:rPr>
              <w:rFonts w:ascii="Apple Symbols" w:hAnsi="Apple Symbols" w:cs="Apple Symbols"/>
              <w:sz w:val="10"/>
            </w:rPr>
            <w:drawing>
              <wp:inline distT="0" distB="0" distL="0" distR="0">
                <wp:extent cx="1619885" cy="53975"/>
                <wp:effectExtent l="0" t="0" r="5715"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
                          <a:extLst>
                            <a:ext uri="{28A0092B-C50C-407E-A947-70E740481C1C}">
                              <a14:useLocalDpi xmlns:a14="http://schemas.microsoft.com/office/drawing/2010/main" val="0"/>
                            </a:ext>
                          </a:extLst>
                        </a:blip>
                        <a:stretch>
                          <a:fillRect/>
                        </a:stretch>
                      </pic:blipFill>
                      <pic:spPr>
                        <a:xfrm>
                          <a:off x="0" y="0"/>
                          <a:ext cx="1620000" cy="54000"/>
                        </a:xfrm>
                        <a:prstGeom prst="rect">
                          <a:avLst/>
                        </a:prstGeom>
                      </pic:spPr>
                    </pic:pic>
                  </a:graphicData>
                </a:graphic>
              </wp:inline>
            </w:drawing>
          </w:r>
        </w:p>
      </w:tc>
    </w:tr>
  </w:tbl>
  <w:p>
    <w:pPr>
      <w:pStyle w:val="18"/>
      <w:pBdr>
        <w:bottom w:val="single" w:color="auto" w:sz="6"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pPr>
    <w:r>
      <w:rPr>
        <w:rFonts w:hint="eastAsia"/>
      </w:rPr>
      <w:t xml:space="preserve">                                                                                                                               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pPr>
    <w:r>
      <w:rPr>
        <w:rFonts w:hint="eastAsia" w:hAnsi="宋体"/>
      </w:rPr>
      <w:t xml:space="preserve">                                                                  </w:t>
    </w:r>
    <w:r>
      <w:rPr>
        <w:rFonts w:hAnsi="宋体"/>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pPr>
    <w:r>
      <w:rPr>
        <w:rFonts w:hint="eastAsia"/>
      </w:rPr>
      <w:t xml:space="preserve">                                                                            单一来源采购文件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decimal"/>
      <w:pStyle w:val="42"/>
      <w:lvlText w:val="%1）"/>
      <w:lvlJc w:val="left"/>
      <w:pPr>
        <w:ind w:left="780" w:hanging="360"/>
      </w:pPr>
      <w:rPr>
        <w:rFonts w:hint="default" w:hAnsi="宋体"/>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0000008"/>
    <w:multiLevelType w:val="multilevel"/>
    <w:tmpl w:val="00000008"/>
    <w:lvl w:ilvl="0" w:tentative="0">
      <w:start w:val="19"/>
      <w:numFmt w:val="decimal"/>
      <w:lvlText w:val="%1"/>
      <w:lvlJc w:val="left"/>
      <w:pPr>
        <w:tabs>
          <w:tab w:val="left" w:pos="720"/>
        </w:tabs>
        <w:ind w:left="720" w:hanging="720"/>
      </w:pPr>
    </w:lvl>
    <w:lvl w:ilvl="1" w:tentative="0">
      <w:start w:val="2"/>
      <w:numFmt w:val="decimal"/>
      <w:lvlText w:val="%1.%2"/>
      <w:lvlJc w:val="left"/>
      <w:pPr>
        <w:tabs>
          <w:tab w:val="left" w:pos="720"/>
        </w:tabs>
        <w:ind w:left="720" w:hanging="720"/>
      </w:pPr>
    </w:lvl>
    <w:lvl w:ilvl="2" w:tentative="0">
      <w:start w:val="2"/>
      <w:numFmt w:val="decimal"/>
      <w:lvlText w:val="%1.%2.%3"/>
      <w:lvlJc w:val="left"/>
      <w:pPr>
        <w:tabs>
          <w:tab w:val="left" w:pos="720"/>
        </w:tabs>
        <w:ind w:left="720" w:hanging="720"/>
      </w:pPr>
    </w:lvl>
    <w:lvl w:ilvl="3" w:tentative="0">
      <w:start w:val="1"/>
      <w:numFmt w:val="decimal"/>
      <w:lvlText w:val="%1.%2.%3.%4"/>
      <w:lvlJc w:val="left"/>
      <w:pPr>
        <w:tabs>
          <w:tab w:val="left" w:pos="1080"/>
        </w:tabs>
        <w:ind w:left="1080" w:hanging="108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440"/>
        </w:tabs>
        <w:ind w:left="1440" w:hanging="1440"/>
      </w:pPr>
    </w:lvl>
    <w:lvl w:ilvl="6" w:tentative="0">
      <w:start w:val="1"/>
      <w:numFmt w:val="decimal"/>
      <w:lvlText w:val="%1.%2.%3.%4.%5.%6.%7"/>
      <w:lvlJc w:val="left"/>
      <w:pPr>
        <w:tabs>
          <w:tab w:val="left" w:pos="1800"/>
        </w:tabs>
        <w:ind w:left="1800" w:hanging="1800"/>
      </w:pPr>
    </w:lvl>
    <w:lvl w:ilvl="7" w:tentative="0">
      <w:start w:val="1"/>
      <w:numFmt w:val="decimal"/>
      <w:lvlText w:val="%1.%2.%3.%4.%5.%6.%7.%8"/>
      <w:lvlJc w:val="left"/>
      <w:pPr>
        <w:tabs>
          <w:tab w:val="left" w:pos="1800"/>
        </w:tabs>
        <w:ind w:left="1800" w:hanging="1800"/>
      </w:pPr>
    </w:lvl>
    <w:lvl w:ilvl="8" w:tentative="0">
      <w:start w:val="1"/>
      <w:numFmt w:val="decimal"/>
      <w:lvlText w:val="%1.%2.%3.%4.%5.%6.%7.%8.%9"/>
      <w:lvlJc w:val="left"/>
      <w:pPr>
        <w:tabs>
          <w:tab w:val="left" w:pos="2160"/>
        </w:tabs>
        <w:ind w:left="2160" w:hanging="2160"/>
      </w:pPr>
    </w:lvl>
  </w:abstractNum>
  <w:abstractNum w:abstractNumId="2">
    <w:nsid w:val="0000000E"/>
    <w:multiLevelType w:val="multilevel"/>
    <w:tmpl w:val="0000000E"/>
    <w:lvl w:ilvl="0" w:tentative="0">
      <w:start w:val="9"/>
      <w:numFmt w:val="decimal"/>
      <w:lvlText w:val="%1."/>
      <w:lvlJc w:val="left"/>
      <w:pPr>
        <w:tabs>
          <w:tab w:val="left" w:pos="900"/>
        </w:tabs>
        <w:ind w:left="900" w:hanging="90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12"/>
    <w:multiLevelType w:val="multilevel"/>
    <w:tmpl w:val="00000012"/>
    <w:lvl w:ilvl="0" w:tentative="0">
      <w:start w:val="1"/>
      <w:numFmt w:val="decimal"/>
      <w:lvlText w:val="（%1）"/>
      <w:lvlJc w:val="left"/>
      <w:pPr>
        <w:tabs>
          <w:tab w:val="left" w:pos="1571"/>
        </w:tabs>
        <w:ind w:left="1571" w:hanging="7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000001B"/>
    <w:multiLevelType w:val="multilevel"/>
    <w:tmpl w:val="0000001B"/>
    <w:lvl w:ilvl="0" w:tentative="0">
      <w:start w:val="1"/>
      <w:numFmt w:val="japaneseCounting"/>
      <w:lvlText w:val="第%1章"/>
      <w:lvlJc w:val="left"/>
      <w:pPr>
        <w:tabs>
          <w:tab w:val="left" w:pos="1680"/>
        </w:tabs>
        <w:ind w:left="1680" w:hanging="114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000001C"/>
    <w:multiLevelType w:val="multilevel"/>
    <w:tmpl w:val="0000001C"/>
    <w:lvl w:ilvl="0" w:tentative="0">
      <w:start w:val="14"/>
      <w:numFmt w:val="decimal"/>
      <w:lvlText w:val="%1"/>
      <w:lvlJc w:val="left"/>
      <w:pPr>
        <w:tabs>
          <w:tab w:val="left" w:pos="480"/>
        </w:tabs>
        <w:ind w:left="480" w:hanging="480"/>
      </w:pPr>
    </w:lvl>
    <w:lvl w:ilvl="1" w:tentative="0">
      <w:start w:val="1"/>
      <w:numFmt w:val="decimal"/>
      <w:lvlText w:val="%1.%2"/>
      <w:lvlJc w:val="left"/>
      <w:pPr>
        <w:tabs>
          <w:tab w:val="left" w:pos="480"/>
        </w:tabs>
        <w:ind w:left="480" w:hanging="480"/>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1080"/>
        </w:tabs>
        <w:ind w:left="1080" w:hanging="108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440"/>
        </w:tabs>
        <w:ind w:left="1440" w:hanging="1440"/>
      </w:pPr>
    </w:lvl>
    <w:lvl w:ilvl="6" w:tentative="0">
      <w:start w:val="1"/>
      <w:numFmt w:val="decimal"/>
      <w:lvlText w:val="%1.%2.%3.%4.%5.%6.%7"/>
      <w:lvlJc w:val="left"/>
      <w:pPr>
        <w:tabs>
          <w:tab w:val="left" w:pos="1800"/>
        </w:tabs>
        <w:ind w:left="1800" w:hanging="1800"/>
      </w:pPr>
    </w:lvl>
    <w:lvl w:ilvl="7" w:tentative="0">
      <w:start w:val="1"/>
      <w:numFmt w:val="decimal"/>
      <w:lvlText w:val="%1.%2.%3.%4.%5.%6.%7.%8"/>
      <w:lvlJc w:val="left"/>
      <w:pPr>
        <w:tabs>
          <w:tab w:val="left" w:pos="1800"/>
        </w:tabs>
        <w:ind w:left="1800" w:hanging="1800"/>
      </w:pPr>
    </w:lvl>
    <w:lvl w:ilvl="8" w:tentative="0">
      <w:start w:val="1"/>
      <w:numFmt w:val="decimal"/>
      <w:lvlText w:val="%1.%2.%3.%4.%5.%6.%7.%8.%9"/>
      <w:lvlJc w:val="left"/>
      <w:pPr>
        <w:tabs>
          <w:tab w:val="left" w:pos="2160"/>
        </w:tabs>
        <w:ind w:left="2160" w:hanging="2160"/>
      </w:pPr>
    </w:lvl>
  </w:abstractNum>
  <w:abstractNum w:abstractNumId="6">
    <w:nsid w:val="0000001D"/>
    <w:multiLevelType w:val="multilevel"/>
    <w:tmpl w:val="0000001D"/>
    <w:lvl w:ilvl="0" w:tentative="0">
      <w:start w:val="1"/>
      <w:numFmt w:val="decimal"/>
      <w:lvlText w:val="%1"/>
      <w:lvlJc w:val="left"/>
      <w:pPr>
        <w:tabs>
          <w:tab w:val="left" w:pos="900"/>
        </w:tabs>
        <w:ind w:left="900" w:hanging="900"/>
      </w:pPr>
    </w:lvl>
    <w:lvl w:ilvl="1" w:tentative="0">
      <w:start w:val="1"/>
      <w:numFmt w:val="decimal"/>
      <w:lvlText w:val="%1.%2"/>
      <w:lvlJc w:val="left"/>
      <w:pPr>
        <w:tabs>
          <w:tab w:val="left" w:pos="900"/>
        </w:tabs>
        <w:ind w:left="900" w:hanging="900"/>
      </w:pPr>
    </w:lvl>
    <w:lvl w:ilvl="2" w:tentative="0">
      <w:start w:val="1"/>
      <w:numFmt w:val="decimal"/>
      <w:lvlText w:val="%1.%2.%3"/>
      <w:lvlJc w:val="left"/>
      <w:pPr>
        <w:tabs>
          <w:tab w:val="left" w:pos="900"/>
        </w:tabs>
        <w:ind w:left="900" w:hanging="900"/>
      </w:pPr>
    </w:lvl>
    <w:lvl w:ilvl="3" w:tentative="0">
      <w:start w:val="1"/>
      <w:numFmt w:val="decimal"/>
      <w:lvlText w:val="%1.%2.%3.%4"/>
      <w:lvlJc w:val="left"/>
      <w:pPr>
        <w:tabs>
          <w:tab w:val="left" w:pos="900"/>
        </w:tabs>
        <w:ind w:left="900" w:hanging="900"/>
      </w:pPr>
    </w:lvl>
    <w:lvl w:ilvl="4" w:tentative="0">
      <w:start w:val="1"/>
      <w:numFmt w:val="decimal"/>
      <w:lvlText w:val="%1.%2.%3.%4.%5"/>
      <w:lvlJc w:val="left"/>
      <w:pPr>
        <w:tabs>
          <w:tab w:val="left" w:pos="900"/>
        </w:tabs>
        <w:ind w:left="900" w:hanging="900"/>
      </w:pPr>
    </w:lvl>
    <w:lvl w:ilvl="5" w:tentative="0">
      <w:start w:val="1"/>
      <w:numFmt w:val="decimal"/>
      <w:lvlText w:val="%1.%2.%3.%4.%5.%6"/>
      <w:lvlJc w:val="left"/>
      <w:pPr>
        <w:tabs>
          <w:tab w:val="left" w:pos="900"/>
        </w:tabs>
        <w:ind w:left="900" w:hanging="900"/>
      </w:pPr>
    </w:lvl>
    <w:lvl w:ilvl="6" w:tentative="0">
      <w:start w:val="1"/>
      <w:numFmt w:val="decimal"/>
      <w:lvlText w:val="%1.%2.%3.%4.%5.%6.%7"/>
      <w:lvlJc w:val="left"/>
      <w:pPr>
        <w:tabs>
          <w:tab w:val="left" w:pos="900"/>
        </w:tabs>
        <w:ind w:left="900" w:hanging="900"/>
      </w:pPr>
    </w:lvl>
    <w:lvl w:ilvl="7" w:tentative="0">
      <w:start w:val="1"/>
      <w:numFmt w:val="decimal"/>
      <w:lvlText w:val="%1.%2.%3.%4.%5.%6.%7.%8"/>
      <w:lvlJc w:val="left"/>
      <w:pPr>
        <w:tabs>
          <w:tab w:val="left" w:pos="900"/>
        </w:tabs>
        <w:ind w:left="900" w:hanging="900"/>
      </w:pPr>
    </w:lvl>
    <w:lvl w:ilvl="8" w:tentative="0">
      <w:start w:val="1"/>
      <w:numFmt w:val="decimal"/>
      <w:lvlText w:val="%1.%2.%3.%4.%5.%6.%7.%8.%9"/>
      <w:lvlJc w:val="left"/>
      <w:pPr>
        <w:tabs>
          <w:tab w:val="left" w:pos="900"/>
        </w:tabs>
        <w:ind w:left="900" w:hanging="900"/>
      </w:pPr>
    </w:lvl>
  </w:abstractNum>
  <w:abstractNum w:abstractNumId="7">
    <w:nsid w:val="1CBC11E5"/>
    <w:multiLevelType w:val="multilevel"/>
    <w:tmpl w:val="1CBC11E5"/>
    <w:lvl w:ilvl="0" w:tentative="0">
      <w:start w:val="1"/>
      <w:numFmt w:val="japaneseCounting"/>
      <w:lvlText w:val="%1、"/>
      <w:lvlJc w:val="left"/>
      <w:pPr>
        <w:ind w:left="660" w:hanging="6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E16681D"/>
    <w:multiLevelType w:val="multilevel"/>
    <w:tmpl w:val="1E16681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F190108"/>
    <w:multiLevelType w:val="multilevel"/>
    <w:tmpl w:val="2F190108"/>
    <w:lvl w:ilvl="0" w:tentative="0">
      <w:start w:val="3"/>
      <w:numFmt w:val="japaneseCounting"/>
      <w:lvlText w:val="%1、"/>
      <w:lvlJc w:val="left"/>
      <w:pPr>
        <w:ind w:left="620" w:hanging="6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D1602A7"/>
    <w:multiLevelType w:val="multilevel"/>
    <w:tmpl w:val="7D1602A7"/>
    <w:lvl w:ilvl="0" w:tentative="0">
      <w:start w:val="1"/>
      <w:numFmt w:val="japaneseCounting"/>
      <w:lvlText w:val="第%1章"/>
      <w:lvlJc w:val="left"/>
      <w:pPr>
        <w:ind w:left="1300" w:hanging="13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0"/>
  </w:num>
  <w:num w:numId="3">
    <w:abstractNumId w:val="6"/>
    <w:lvlOverride w:ilvl="1">
      <w:startOverride w:val="1"/>
    </w:lvlOverride>
  </w:num>
  <w:num w:numId="4">
    <w:abstractNumId w:val="4"/>
    <w:lvlOverride w:ilvl="0">
      <w:startOverride w:val="1"/>
    </w:lvlOverride>
  </w:num>
  <w:num w:numId="5">
    <w:abstractNumId w:val="2"/>
    <w:lvlOverride w:ilvl="0">
      <w:startOverride w:val="9"/>
    </w:lvlOverride>
  </w:num>
  <w:num w:numId="6">
    <w:abstractNumId w:val="5"/>
    <w:lvlOverride w:ilvl="1">
      <w:startOverride w:val="1"/>
    </w:lvlOverride>
  </w:num>
  <w:num w:numId="7">
    <w:abstractNumId w:val="1"/>
    <w:lvlOverride w:ilvl="2">
      <w:startOverride w:val="2"/>
    </w:lvlOverride>
  </w:num>
  <w:num w:numId="8">
    <w:abstractNumId w:val="3"/>
    <w:lvlOverride w:ilvl="0">
      <w:startOverride w:val="1"/>
    </w:lvlOverride>
  </w:num>
  <w:num w:numId="9">
    <w:abstractNumId w:val="7"/>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jc3ZDIxNTgzYjI3NzNjYjExYTAyNzM1N2FhMzgzNDUifQ=="/>
  </w:docVars>
  <w:rsids>
    <w:rsidRoot w:val="00172A27"/>
    <w:rsid w:val="00000668"/>
    <w:rsid w:val="000037C5"/>
    <w:rsid w:val="00005111"/>
    <w:rsid w:val="00005D25"/>
    <w:rsid w:val="000103C8"/>
    <w:rsid w:val="00015CCF"/>
    <w:rsid w:val="0002078A"/>
    <w:rsid w:val="000215F6"/>
    <w:rsid w:val="000248B2"/>
    <w:rsid w:val="0002537B"/>
    <w:rsid w:val="00025B43"/>
    <w:rsid w:val="00032A7A"/>
    <w:rsid w:val="00040982"/>
    <w:rsid w:val="000452F5"/>
    <w:rsid w:val="00053789"/>
    <w:rsid w:val="000545FB"/>
    <w:rsid w:val="00054D6A"/>
    <w:rsid w:val="000614D9"/>
    <w:rsid w:val="0006181D"/>
    <w:rsid w:val="00065D90"/>
    <w:rsid w:val="000671B4"/>
    <w:rsid w:val="0007055C"/>
    <w:rsid w:val="00071A51"/>
    <w:rsid w:val="0007224A"/>
    <w:rsid w:val="00072A34"/>
    <w:rsid w:val="000741D8"/>
    <w:rsid w:val="00075F55"/>
    <w:rsid w:val="000841F4"/>
    <w:rsid w:val="00090B93"/>
    <w:rsid w:val="00091E7E"/>
    <w:rsid w:val="0009565D"/>
    <w:rsid w:val="000A0331"/>
    <w:rsid w:val="000A084D"/>
    <w:rsid w:val="000A0E52"/>
    <w:rsid w:val="000A4B05"/>
    <w:rsid w:val="000A7BD8"/>
    <w:rsid w:val="000B7092"/>
    <w:rsid w:val="000C0737"/>
    <w:rsid w:val="000C5842"/>
    <w:rsid w:val="000C603C"/>
    <w:rsid w:val="000D3693"/>
    <w:rsid w:val="000E0CCA"/>
    <w:rsid w:val="000F5DBF"/>
    <w:rsid w:val="000F7C3D"/>
    <w:rsid w:val="00102C5D"/>
    <w:rsid w:val="00104211"/>
    <w:rsid w:val="00106A60"/>
    <w:rsid w:val="001253CC"/>
    <w:rsid w:val="00130198"/>
    <w:rsid w:val="00135B01"/>
    <w:rsid w:val="0014022F"/>
    <w:rsid w:val="001406D5"/>
    <w:rsid w:val="001432BB"/>
    <w:rsid w:val="0014557F"/>
    <w:rsid w:val="00155ADE"/>
    <w:rsid w:val="0016588D"/>
    <w:rsid w:val="00166AE6"/>
    <w:rsid w:val="00172119"/>
    <w:rsid w:val="00172A27"/>
    <w:rsid w:val="00176E9E"/>
    <w:rsid w:val="00180E2F"/>
    <w:rsid w:val="001819FE"/>
    <w:rsid w:val="001844B7"/>
    <w:rsid w:val="0018568D"/>
    <w:rsid w:val="00186FB1"/>
    <w:rsid w:val="00195983"/>
    <w:rsid w:val="001973DD"/>
    <w:rsid w:val="001B19DD"/>
    <w:rsid w:val="001B592E"/>
    <w:rsid w:val="001C33C8"/>
    <w:rsid w:val="001D12E9"/>
    <w:rsid w:val="001D4E2B"/>
    <w:rsid w:val="001D73E2"/>
    <w:rsid w:val="001E1908"/>
    <w:rsid w:val="001E4E1E"/>
    <w:rsid w:val="001E7C0C"/>
    <w:rsid w:val="001F1BF9"/>
    <w:rsid w:val="001F373F"/>
    <w:rsid w:val="001F430A"/>
    <w:rsid w:val="00201698"/>
    <w:rsid w:val="00205557"/>
    <w:rsid w:val="002111F2"/>
    <w:rsid w:val="00220903"/>
    <w:rsid w:val="0022178D"/>
    <w:rsid w:val="00222F39"/>
    <w:rsid w:val="00224E83"/>
    <w:rsid w:val="00224FB1"/>
    <w:rsid w:val="002305A8"/>
    <w:rsid w:val="00236EB2"/>
    <w:rsid w:val="00240755"/>
    <w:rsid w:val="00241A1B"/>
    <w:rsid w:val="00245374"/>
    <w:rsid w:val="002456E8"/>
    <w:rsid w:val="00246212"/>
    <w:rsid w:val="002505AA"/>
    <w:rsid w:val="00251BAE"/>
    <w:rsid w:val="002627CF"/>
    <w:rsid w:val="00264D8D"/>
    <w:rsid w:val="00267233"/>
    <w:rsid w:val="002706E1"/>
    <w:rsid w:val="00274EEA"/>
    <w:rsid w:val="00276FC5"/>
    <w:rsid w:val="002823C0"/>
    <w:rsid w:val="00284D4B"/>
    <w:rsid w:val="00286ADE"/>
    <w:rsid w:val="00287747"/>
    <w:rsid w:val="00293879"/>
    <w:rsid w:val="00294CED"/>
    <w:rsid w:val="002A031E"/>
    <w:rsid w:val="002B0FCC"/>
    <w:rsid w:val="002C395E"/>
    <w:rsid w:val="002C6278"/>
    <w:rsid w:val="002D490F"/>
    <w:rsid w:val="002D7431"/>
    <w:rsid w:val="002E1456"/>
    <w:rsid w:val="002E1813"/>
    <w:rsid w:val="002F29AF"/>
    <w:rsid w:val="00301CD6"/>
    <w:rsid w:val="00303321"/>
    <w:rsid w:val="00303C2A"/>
    <w:rsid w:val="003070F2"/>
    <w:rsid w:val="00311A4C"/>
    <w:rsid w:val="0031301C"/>
    <w:rsid w:val="0031365B"/>
    <w:rsid w:val="00316984"/>
    <w:rsid w:val="00334DEC"/>
    <w:rsid w:val="00350620"/>
    <w:rsid w:val="00356120"/>
    <w:rsid w:val="00356151"/>
    <w:rsid w:val="00356DD3"/>
    <w:rsid w:val="00360F4C"/>
    <w:rsid w:val="0036775D"/>
    <w:rsid w:val="00376546"/>
    <w:rsid w:val="00376A0F"/>
    <w:rsid w:val="00381CD9"/>
    <w:rsid w:val="00382E69"/>
    <w:rsid w:val="003864B5"/>
    <w:rsid w:val="0038732F"/>
    <w:rsid w:val="003878BD"/>
    <w:rsid w:val="00391D35"/>
    <w:rsid w:val="0039511D"/>
    <w:rsid w:val="003972B8"/>
    <w:rsid w:val="00397D9A"/>
    <w:rsid w:val="003A1B04"/>
    <w:rsid w:val="003B050D"/>
    <w:rsid w:val="003B2F97"/>
    <w:rsid w:val="003B47B6"/>
    <w:rsid w:val="003B57DC"/>
    <w:rsid w:val="003B7BFD"/>
    <w:rsid w:val="003C4863"/>
    <w:rsid w:val="003C64C8"/>
    <w:rsid w:val="003D2EE6"/>
    <w:rsid w:val="003D73F6"/>
    <w:rsid w:val="003E3ECD"/>
    <w:rsid w:val="003E6FA5"/>
    <w:rsid w:val="003F2947"/>
    <w:rsid w:val="003F3CFB"/>
    <w:rsid w:val="003F5878"/>
    <w:rsid w:val="003F77E5"/>
    <w:rsid w:val="004031E5"/>
    <w:rsid w:val="0040535C"/>
    <w:rsid w:val="00405CB9"/>
    <w:rsid w:val="004149D1"/>
    <w:rsid w:val="004164B6"/>
    <w:rsid w:val="00416D95"/>
    <w:rsid w:val="00417A66"/>
    <w:rsid w:val="004222E4"/>
    <w:rsid w:val="00423093"/>
    <w:rsid w:val="00430963"/>
    <w:rsid w:val="00430EBF"/>
    <w:rsid w:val="004317B5"/>
    <w:rsid w:val="004377C2"/>
    <w:rsid w:val="00440B2A"/>
    <w:rsid w:val="00445672"/>
    <w:rsid w:val="00446B5D"/>
    <w:rsid w:val="00447D84"/>
    <w:rsid w:val="00453C69"/>
    <w:rsid w:val="00454256"/>
    <w:rsid w:val="00455D82"/>
    <w:rsid w:val="0045725D"/>
    <w:rsid w:val="004573C8"/>
    <w:rsid w:val="004574C3"/>
    <w:rsid w:val="00463755"/>
    <w:rsid w:val="004645B6"/>
    <w:rsid w:val="00464AC5"/>
    <w:rsid w:val="00467313"/>
    <w:rsid w:val="0047145F"/>
    <w:rsid w:val="004714E0"/>
    <w:rsid w:val="00471708"/>
    <w:rsid w:val="00472FEB"/>
    <w:rsid w:val="00473B53"/>
    <w:rsid w:val="00475F13"/>
    <w:rsid w:val="004767C2"/>
    <w:rsid w:val="00476B4C"/>
    <w:rsid w:val="0048598D"/>
    <w:rsid w:val="00485FCB"/>
    <w:rsid w:val="004865B1"/>
    <w:rsid w:val="00491C7A"/>
    <w:rsid w:val="00493876"/>
    <w:rsid w:val="00493DEE"/>
    <w:rsid w:val="0049590F"/>
    <w:rsid w:val="004A726B"/>
    <w:rsid w:val="004B3D4E"/>
    <w:rsid w:val="004C00FD"/>
    <w:rsid w:val="004C0B55"/>
    <w:rsid w:val="004C28F3"/>
    <w:rsid w:val="004C6D71"/>
    <w:rsid w:val="004D3FE8"/>
    <w:rsid w:val="004D4393"/>
    <w:rsid w:val="004E13F1"/>
    <w:rsid w:val="004F027D"/>
    <w:rsid w:val="004F19C3"/>
    <w:rsid w:val="004F2453"/>
    <w:rsid w:val="004F4964"/>
    <w:rsid w:val="004F5D7C"/>
    <w:rsid w:val="004F5DEC"/>
    <w:rsid w:val="00502935"/>
    <w:rsid w:val="00510691"/>
    <w:rsid w:val="00513A7F"/>
    <w:rsid w:val="00521A88"/>
    <w:rsid w:val="0053002B"/>
    <w:rsid w:val="005364B9"/>
    <w:rsid w:val="0053677D"/>
    <w:rsid w:val="00537D3C"/>
    <w:rsid w:val="00543C0F"/>
    <w:rsid w:val="00544CCE"/>
    <w:rsid w:val="00546D2E"/>
    <w:rsid w:val="00550D7F"/>
    <w:rsid w:val="005511FE"/>
    <w:rsid w:val="00555E53"/>
    <w:rsid w:val="00557BF6"/>
    <w:rsid w:val="005640D0"/>
    <w:rsid w:val="00564803"/>
    <w:rsid w:val="00567046"/>
    <w:rsid w:val="005725B5"/>
    <w:rsid w:val="00574F8D"/>
    <w:rsid w:val="005762ED"/>
    <w:rsid w:val="00577902"/>
    <w:rsid w:val="005828EA"/>
    <w:rsid w:val="0058456C"/>
    <w:rsid w:val="0058790A"/>
    <w:rsid w:val="005935B7"/>
    <w:rsid w:val="005A104C"/>
    <w:rsid w:val="005A1E16"/>
    <w:rsid w:val="005A2B2D"/>
    <w:rsid w:val="005B5939"/>
    <w:rsid w:val="005B6C66"/>
    <w:rsid w:val="005C169D"/>
    <w:rsid w:val="005C47F4"/>
    <w:rsid w:val="005C7923"/>
    <w:rsid w:val="005D11D2"/>
    <w:rsid w:val="005D41FB"/>
    <w:rsid w:val="005E1C70"/>
    <w:rsid w:val="005F39BD"/>
    <w:rsid w:val="00602936"/>
    <w:rsid w:val="00602F33"/>
    <w:rsid w:val="006111F3"/>
    <w:rsid w:val="00612849"/>
    <w:rsid w:val="0061482C"/>
    <w:rsid w:val="00616A6E"/>
    <w:rsid w:val="00616D22"/>
    <w:rsid w:val="00626039"/>
    <w:rsid w:val="00627208"/>
    <w:rsid w:val="00632147"/>
    <w:rsid w:val="0063549F"/>
    <w:rsid w:val="00635987"/>
    <w:rsid w:val="00636D03"/>
    <w:rsid w:val="00647D5E"/>
    <w:rsid w:val="00654A91"/>
    <w:rsid w:val="00654ADA"/>
    <w:rsid w:val="006570C7"/>
    <w:rsid w:val="0065795A"/>
    <w:rsid w:val="006600CC"/>
    <w:rsid w:val="00661138"/>
    <w:rsid w:val="0066233C"/>
    <w:rsid w:val="006703B9"/>
    <w:rsid w:val="00675C9B"/>
    <w:rsid w:val="006857B5"/>
    <w:rsid w:val="00686389"/>
    <w:rsid w:val="00690237"/>
    <w:rsid w:val="00692919"/>
    <w:rsid w:val="00693AFE"/>
    <w:rsid w:val="006A14C5"/>
    <w:rsid w:val="006A2A29"/>
    <w:rsid w:val="006A2BF3"/>
    <w:rsid w:val="006A418A"/>
    <w:rsid w:val="006A5CDC"/>
    <w:rsid w:val="006B0E4D"/>
    <w:rsid w:val="006B1749"/>
    <w:rsid w:val="006B1813"/>
    <w:rsid w:val="006B7620"/>
    <w:rsid w:val="006D0E22"/>
    <w:rsid w:val="006E10AD"/>
    <w:rsid w:val="006E75EA"/>
    <w:rsid w:val="006E76A6"/>
    <w:rsid w:val="006F1EC6"/>
    <w:rsid w:val="006F37EB"/>
    <w:rsid w:val="006F4E76"/>
    <w:rsid w:val="00712C78"/>
    <w:rsid w:val="00714EB2"/>
    <w:rsid w:val="00716579"/>
    <w:rsid w:val="00717B00"/>
    <w:rsid w:val="00720C8D"/>
    <w:rsid w:val="007242E6"/>
    <w:rsid w:val="00731DBD"/>
    <w:rsid w:val="0075245C"/>
    <w:rsid w:val="00753A94"/>
    <w:rsid w:val="007541F6"/>
    <w:rsid w:val="00754765"/>
    <w:rsid w:val="007569E1"/>
    <w:rsid w:val="00761760"/>
    <w:rsid w:val="00765770"/>
    <w:rsid w:val="00766600"/>
    <w:rsid w:val="0077404B"/>
    <w:rsid w:val="00776E81"/>
    <w:rsid w:val="00777582"/>
    <w:rsid w:val="0078056C"/>
    <w:rsid w:val="00782AAE"/>
    <w:rsid w:val="0079375E"/>
    <w:rsid w:val="007A2F6C"/>
    <w:rsid w:val="007A65AB"/>
    <w:rsid w:val="007A7AB8"/>
    <w:rsid w:val="007B3B37"/>
    <w:rsid w:val="007B4B18"/>
    <w:rsid w:val="007B539A"/>
    <w:rsid w:val="007C015B"/>
    <w:rsid w:val="007C23C9"/>
    <w:rsid w:val="007C4648"/>
    <w:rsid w:val="007D430C"/>
    <w:rsid w:val="007D55A0"/>
    <w:rsid w:val="007E2BD3"/>
    <w:rsid w:val="007E331F"/>
    <w:rsid w:val="007E3845"/>
    <w:rsid w:val="007E5242"/>
    <w:rsid w:val="007F1B6C"/>
    <w:rsid w:val="007F34DC"/>
    <w:rsid w:val="007F368D"/>
    <w:rsid w:val="007F58AF"/>
    <w:rsid w:val="007F5913"/>
    <w:rsid w:val="007F6498"/>
    <w:rsid w:val="007F76B3"/>
    <w:rsid w:val="007F779F"/>
    <w:rsid w:val="00802A9C"/>
    <w:rsid w:val="00811225"/>
    <w:rsid w:val="00811F95"/>
    <w:rsid w:val="008138DA"/>
    <w:rsid w:val="008153FE"/>
    <w:rsid w:val="008171C8"/>
    <w:rsid w:val="00817AF5"/>
    <w:rsid w:val="00826776"/>
    <w:rsid w:val="008273BE"/>
    <w:rsid w:val="008304CB"/>
    <w:rsid w:val="008349AB"/>
    <w:rsid w:val="00834E52"/>
    <w:rsid w:val="008374BB"/>
    <w:rsid w:val="00840700"/>
    <w:rsid w:val="0084139B"/>
    <w:rsid w:val="008449F1"/>
    <w:rsid w:val="008475A4"/>
    <w:rsid w:val="00850170"/>
    <w:rsid w:val="00850603"/>
    <w:rsid w:val="00850CF6"/>
    <w:rsid w:val="00851AE3"/>
    <w:rsid w:val="00862757"/>
    <w:rsid w:val="00865F91"/>
    <w:rsid w:val="00871FC8"/>
    <w:rsid w:val="00872482"/>
    <w:rsid w:val="00874775"/>
    <w:rsid w:val="0087797B"/>
    <w:rsid w:val="00882DFA"/>
    <w:rsid w:val="00884DCA"/>
    <w:rsid w:val="0088775E"/>
    <w:rsid w:val="00890B43"/>
    <w:rsid w:val="008929BC"/>
    <w:rsid w:val="00895A0A"/>
    <w:rsid w:val="00896E59"/>
    <w:rsid w:val="008973D8"/>
    <w:rsid w:val="00897FC2"/>
    <w:rsid w:val="008A48F9"/>
    <w:rsid w:val="008A6DB4"/>
    <w:rsid w:val="008B7989"/>
    <w:rsid w:val="008C2BE4"/>
    <w:rsid w:val="008C357D"/>
    <w:rsid w:val="008C66D6"/>
    <w:rsid w:val="008D5106"/>
    <w:rsid w:val="008D6A69"/>
    <w:rsid w:val="008E0DFA"/>
    <w:rsid w:val="008E16FB"/>
    <w:rsid w:val="008E29EB"/>
    <w:rsid w:val="008E6BD3"/>
    <w:rsid w:val="0090092E"/>
    <w:rsid w:val="00904162"/>
    <w:rsid w:val="00904C56"/>
    <w:rsid w:val="00915C3D"/>
    <w:rsid w:val="009172C6"/>
    <w:rsid w:val="00923F4E"/>
    <w:rsid w:val="00925435"/>
    <w:rsid w:val="00925E6D"/>
    <w:rsid w:val="009270B2"/>
    <w:rsid w:val="00935440"/>
    <w:rsid w:val="00935B49"/>
    <w:rsid w:val="00941124"/>
    <w:rsid w:val="00942433"/>
    <w:rsid w:val="009427E8"/>
    <w:rsid w:val="00947A68"/>
    <w:rsid w:val="0095739A"/>
    <w:rsid w:val="00962746"/>
    <w:rsid w:val="0096742F"/>
    <w:rsid w:val="00967442"/>
    <w:rsid w:val="009720B1"/>
    <w:rsid w:val="009720F8"/>
    <w:rsid w:val="00972448"/>
    <w:rsid w:val="00973517"/>
    <w:rsid w:val="00973DC4"/>
    <w:rsid w:val="0098641A"/>
    <w:rsid w:val="009875E4"/>
    <w:rsid w:val="00990E75"/>
    <w:rsid w:val="00996BFD"/>
    <w:rsid w:val="00997003"/>
    <w:rsid w:val="009A1EDE"/>
    <w:rsid w:val="009B143D"/>
    <w:rsid w:val="009B77C0"/>
    <w:rsid w:val="009C01F4"/>
    <w:rsid w:val="009C2D50"/>
    <w:rsid w:val="009C5E72"/>
    <w:rsid w:val="009D0765"/>
    <w:rsid w:val="009D0AAB"/>
    <w:rsid w:val="009D22B6"/>
    <w:rsid w:val="009D451D"/>
    <w:rsid w:val="009E1F77"/>
    <w:rsid w:val="009E6449"/>
    <w:rsid w:val="00A00B15"/>
    <w:rsid w:val="00A01FED"/>
    <w:rsid w:val="00A05A42"/>
    <w:rsid w:val="00A05C70"/>
    <w:rsid w:val="00A11CA9"/>
    <w:rsid w:val="00A12D62"/>
    <w:rsid w:val="00A20601"/>
    <w:rsid w:val="00A20A01"/>
    <w:rsid w:val="00A23A0C"/>
    <w:rsid w:val="00A334DC"/>
    <w:rsid w:val="00A33508"/>
    <w:rsid w:val="00A4267E"/>
    <w:rsid w:val="00A42ABB"/>
    <w:rsid w:val="00A4437F"/>
    <w:rsid w:val="00A503BD"/>
    <w:rsid w:val="00A53BE6"/>
    <w:rsid w:val="00A55CBB"/>
    <w:rsid w:val="00A56645"/>
    <w:rsid w:val="00A60B14"/>
    <w:rsid w:val="00A81AB3"/>
    <w:rsid w:val="00A8465D"/>
    <w:rsid w:val="00A85875"/>
    <w:rsid w:val="00A90639"/>
    <w:rsid w:val="00A908AC"/>
    <w:rsid w:val="00A96AF5"/>
    <w:rsid w:val="00AA0546"/>
    <w:rsid w:val="00AA31F7"/>
    <w:rsid w:val="00AA41AE"/>
    <w:rsid w:val="00AA7E66"/>
    <w:rsid w:val="00AB3DC4"/>
    <w:rsid w:val="00AB4F35"/>
    <w:rsid w:val="00AB63AA"/>
    <w:rsid w:val="00AC50E7"/>
    <w:rsid w:val="00AC533F"/>
    <w:rsid w:val="00AD070A"/>
    <w:rsid w:val="00AD4CAF"/>
    <w:rsid w:val="00AD6817"/>
    <w:rsid w:val="00AE3295"/>
    <w:rsid w:val="00AE4F80"/>
    <w:rsid w:val="00AE5E2D"/>
    <w:rsid w:val="00AF3B3E"/>
    <w:rsid w:val="00AF7136"/>
    <w:rsid w:val="00B03E48"/>
    <w:rsid w:val="00B03FD5"/>
    <w:rsid w:val="00B075B6"/>
    <w:rsid w:val="00B13699"/>
    <w:rsid w:val="00B14609"/>
    <w:rsid w:val="00B323C6"/>
    <w:rsid w:val="00B36F85"/>
    <w:rsid w:val="00B46D08"/>
    <w:rsid w:val="00B5007B"/>
    <w:rsid w:val="00B55EB3"/>
    <w:rsid w:val="00B62377"/>
    <w:rsid w:val="00B6679A"/>
    <w:rsid w:val="00B7253E"/>
    <w:rsid w:val="00B7513E"/>
    <w:rsid w:val="00B7524C"/>
    <w:rsid w:val="00B76005"/>
    <w:rsid w:val="00B823DD"/>
    <w:rsid w:val="00B82CA9"/>
    <w:rsid w:val="00B85D1A"/>
    <w:rsid w:val="00B8605A"/>
    <w:rsid w:val="00B87DE8"/>
    <w:rsid w:val="00B90B44"/>
    <w:rsid w:val="00B9677C"/>
    <w:rsid w:val="00BB4752"/>
    <w:rsid w:val="00BB505D"/>
    <w:rsid w:val="00BB6025"/>
    <w:rsid w:val="00BB761F"/>
    <w:rsid w:val="00BC1AEE"/>
    <w:rsid w:val="00BC1EC2"/>
    <w:rsid w:val="00BC33DE"/>
    <w:rsid w:val="00BC46C8"/>
    <w:rsid w:val="00BC5889"/>
    <w:rsid w:val="00BD1D54"/>
    <w:rsid w:val="00BD54C0"/>
    <w:rsid w:val="00BE047F"/>
    <w:rsid w:val="00BE0A6E"/>
    <w:rsid w:val="00BE3931"/>
    <w:rsid w:val="00BF1F68"/>
    <w:rsid w:val="00BF3F9E"/>
    <w:rsid w:val="00BF47A3"/>
    <w:rsid w:val="00C00603"/>
    <w:rsid w:val="00C05E6C"/>
    <w:rsid w:val="00C1117F"/>
    <w:rsid w:val="00C1572A"/>
    <w:rsid w:val="00C23994"/>
    <w:rsid w:val="00C26F5F"/>
    <w:rsid w:val="00C30878"/>
    <w:rsid w:val="00C30C13"/>
    <w:rsid w:val="00C32491"/>
    <w:rsid w:val="00C325EE"/>
    <w:rsid w:val="00C34417"/>
    <w:rsid w:val="00C3483F"/>
    <w:rsid w:val="00C3502B"/>
    <w:rsid w:val="00C40B29"/>
    <w:rsid w:val="00C56477"/>
    <w:rsid w:val="00C56BDA"/>
    <w:rsid w:val="00C61A49"/>
    <w:rsid w:val="00C653DC"/>
    <w:rsid w:val="00C73ACB"/>
    <w:rsid w:val="00C74FDA"/>
    <w:rsid w:val="00C751BD"/>
    <w:rsid w:val="00C7786E"/>
    <w:rsid w:val="00C800B6"/>
    <w:rsid w:val="00C82FE0"/>
    <w:rsid w:val="00C84AA1"/>
    <w:rsid w:val="00C9215A"/>
    <w:rsid w:val="00C9352E"/>
    <w:rsid w:val="00C94377"/>
    <w:rsid w:val="00CA280A"/>
    <w:rsid w:val="00CA6266"/>
    <w:rsid w:val="00CA6FF5"/>
    <w:rsid w:val="00CB0136"/>
    <w:rsid w:val="00CB55E4"/>
    <w:rsid w:val="00CC04F3"/>
    <w:rsid w:val="00CC3D99"/>
    <w:rsid w:val="00CC4284"/>
    <w:rsid w:val="00CC48A8"/>
    <w:rsid w:val="00CD0BDF"/>
    <w:rsid w:val="00CD7CCA"/>
    <w:rsid w:val="00CE0432"/>
    <w:rsid w:val="00CE66E7"/>
    <w:rsid w:val="00CE79A6"/>
    <w:rsid w:val="00CF04A9"/>
    <w:rsid w:val="00CF1949"/>
    <w:rsid w:val="00CF3476"/>
    <w:rsid w:val="00CF49B8"/>
    <w:rsid w:val="00CF7EA4"/>
    <w:rsid w:val="00D012BF"/>
    <w:rsid w:val="00D060F9"/>
    <w:rsid w:val="00D06271"/>
    <w:rsid w:val="00D068CE"/>
    <w:rsid w:val="00D07434"/>
    <w:rsid w:val="00D07F46"/>
    <w:rsid w:val="00D102D2"/>
    <w:rsid w:val="00D1096E"/>
    <w:rsid w:val="00D114D6"/>
    <w:rsid w:val="00D1258B"/>
    <w:rsid w:val="00D20806"/>
    <w:rsid w:val="00D21CE7"/>
    <w:rsid w:val="00D27491"/>
    <w:rsid w:val="00D27D8C"/>
    <w:rsid w:val="00D35AEA"/>
    <w:rsid w:val="00D35F30"/>
    <w:rsid w:val="00D36B99"/>
    <w:rsid w:val="00D3766F"/>
    <w:rsid w:val="00D40B53"/>
    <w:rsid w:val="00D40C47"/>
    <w:rsid w:val="00D42970"/>
    <w:rsid w:val="00D52B22"/>
    <w:rsid w:val="00D54B18"/>
    <w:rsid w:val="00D60360"/>
    <w:rsid w:val="00D60CCD"/>
    <w:rsid w:val="00D66AA7"/>
    <w:rsid w:val="00D67B60"/>
    <w:rsid w:val="00D73E13"/>
    <w:rsid w:val="00D745C2"/>
    <w:rsid w:val="00D7548D"/>
    <w:rsid w:val="00D83024"/>
    <w:rsid w:val="00D837BD"/>
    <w:rsid w:val="00D84BA9"/>
    <w:rsid w:val="00D869DF"/>
    <w:rsid w:val="00D86AD4"/>
    <w:rsid w:val="00D9233B"/>
    <w:rsid w:val="00D95974"/>
    <w:rsid w:val="00D96C3F"/>
    <w:rsid w:val="00D96DAD"/>
    <w:rsid w:val="00D97ECB"/>
    <w:rsid w:val="00DB1907"/>
    <w:rsid w:val="00DB34A0"/>
    <w:rsid w:val="00DB59AE"/>
    <w:rsid w:val="00DC49FF"/>
    <w:rsid w:val="00DC4C06"/>
    <w:rsid w:val="00DC4C46"/>
    <w:rsid w:val="00DD6B10"/>
    <w:rsid w:val="00DE156B"/>
    <w:rsid w:val="00DE36EC"/>
    <w:rsid w:val="00DF612E"/>
    <w:rsid w:val="00E0606C"/>
    <w:rsid w:val="00E106FB"/>
    <w:rsid w:val="00E20362"/>
    <w:rsid w:val="00E266EB"/>
    <w:rsid w:val="00E27057"/>
    <w:rsid w:val="00E2772C"/>
    <w:rsid w:val="00E30530"/>
    <w:rsid w:val="00E30FC1"/>
    <w:rsid w:val="00E45AE2"/>
    <w:rsid w:val="00E537B6"/>
    <w:rsid w:val="00E60B11"/>
    <w:rsid w:val="00E624A5"/>
    <w:rsid w:val="00E71064"/>
    <w:rsid w:val="00E71AC9"/>
    <w:rsid w:val="00E74E95"/>
    <w:rsid w:val="00E773B8"/>
    <w:rsid w:val="00E80ADB"/>
    <w:rsid w:val="00E80EC4"/>
    <w:rsid w:val="00E83773"/>
    <w:rsid w:val="00E84A6A"/>
    <w:rsid w:val="00E84C72"/>
    <w:rsid w:val="00E8560B"/>
    <w:rsid w:val="00E91CAE"/>
    <w:rsid w:val="00E92C8E"/>
    <w:rsid w:val="00E95B89"/>
    <w:rsid w:val="00E96D68"/>
    <w:rsid w:val="00E96FDB"/>
    <w:rsid w:val="00EA0C49"/>
    <w:rsid w:val="00EA1263"/>
    <w:rsid w:val="00EA1824"/>
    <w:rsid w:val="00EA54E4"/>
    <w:rsid w:val="00EB0633"/>
    <w:rsid w:val="00EB1006"/>
    <w:rsid w:val="00EB1EB7"/>
    <w:rsid w:val="00EB3B75"/>
    <w:rsid w:val="00EB724F"/>
    <w:rsid w:val="00EB742D"/>
    <w:rsid w:val="00EC0337"/>
    <w:rsid w:val="00EC141A"/>
    <w:rsid w:val="00EC2EDC"/>
    <w:rsid w:val="00EC428B"/>
    <w:rsid w:val="00EC62A5"/>
    <w:rsid w:val="00ED0319"/>
    <w:rsid w:val="00ED0453"/>
    <w:rsid w:val="00ED049A"/>
    <w:rsid w:val="00ED1658"/>
    <w:rsid w:val="00ED16CC"/>
    <w:rsid w:val="00ED268A"/>
    <w:rsid w:val="00ED4A78"/>
    <w:rsid w:val="00EE1D8A"/>
    <w:rsid w:val="00EF11CC"/>
    <w:rsid w:val="00EF1780"/>
    <w:rsid w:val="00EF2AEF"/>
    <w:rsid w:val="00EF3BA8"/>
    <w:rsid w:val="00F02866"/>
    <w:rsid w:val="00F064B6"/>
    <w:rsid w:val="00F1591F"/>
    <w:rsid w:val="00F27AC5"/>
    <w:rsid w:val="00F40C8B"/>
    <w:rsid w:val="00F46F28"/>
    <w:rsid w:val="00F532F8"/>
    <w:rsid w:val="00F613CB"/>
    <w:rsid w:val="00F61FCD"/>
    <w:rsid w:val="00F71ABE"/>
    <w:rsid w:val="00F74138"/>
    <w:rsid w:val="00F773A1"/>
    <w:rsid w:val="00F80204"/>
    <w:rsid w:val="00F90ABD"/>
    <w:rsid w:val="00F92496"/>
    <w:rsid w:val="00F97C2F"/>
    <w:rsid w:val="00FA0AAC"/>
    <w:rsid w:val="00FB07D1"/>
    <w:rsid w:val="00FB4154"/>
    <w:rsid w:val="00FB4487"/>
    <w:rsid w:val="00FC1807"/>
    <w:rsid w:val="00FC303E"/>
    <w:rsid w:val="00FC4BC2"/>
    <w:rsid w:val="00FC5679"/>
    <w:rsid w:val="00FD078D"/>
    <w:rsid w:val="00FE03AF"/>
    <w:rsid w:val="00FE0FE0"/>
    <w:rsid w:val="00FE1D38"/>
    <w:rsid w:val="00FE44BD"/>
    <w:rsid w:val="00FE531B"/>
    <w:rsid w:val="00FE54A9"/>
    <w:rsid w:val="00FE63D2"/>
    <w:rsid w:val="00FE6C02"/>
    <w:rsid w:val="00FF0BC4"/>
    <w:rsid w:val="50EC76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nhideWhenUsed="0" w:uiPriority="39" w:semiHidden="0" w:name="toc 1"/>
    <w:lsdException w:unhideWhenUsed="0" w:uiPriority="39" w:semiHidden="0" w:name="toc 2"/>
    <w:lsdException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nhideWhenUsed="0" w:uiPriority="0" w:semiHidden="0" w:name="annotation text"/>
    <w:lsdException w:qFormat="1"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nhideWhenUsed="0" w:uiPriority="0" w:semiHidden="0" w:name="HTML Preformatted"/>
    <w:lsdException w:uiPriority="0" w:name="HTML Sample"/>
    <w:lsdException w:uiPriority="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4"/>
    <w:qFormat/>
    <w:uiPriority w:val="0"/>
    <w:pPr>
      <w:keepNext/>
      <w:keepLines/>
      <w:autoSpaceDE w:val="0"/>
      <w:autoSpaceDN w:val="0"/>
      <w:adjustRightInd w:val="0"/>
      <w:spacing w:before="240" w:after="120" w:line="300" w:lineRule="auto"/>
      <w:jc w:val="center"/>
      <w:outlineLvl w:val="0"/>
    </w:pPr>
    <w:rPr>
      <w:rFonts w:ascii="宋体" w:cs="宋体"/>
      <w:b/>
      <w:kern w:val="44"/>
      <w:sz w:val="32"/>
      <w:szCs w:val="20"/>
    </w:rPr>
  </w:style>
  <w:style w:type="paragraph" w:styleId="3">
    <w:name w:val="heading 2"/>
    <w:basedOn w:val="1"/>
    <w:next w:val="4"/>
    <w:link w:val="6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qFormat/>
    <w:uiPriority w:val="0"/>
    <w:pPr>
      <w:keepNext/>
      <w:keepLines/>
      <w:autoSpaceDE w:val="0"/>
      <w:autoSpaceDN w:val="0"/>
      <w:adjustRightInd w:val="0"/>
      <w:spacing w:before="360" w:after="120"/>
      <w:jc w:val="left"/>
      <w:outlineLvl w:val="2"/>
    </w:pPr>
    <w:rPr>
      <w:rFonts w:ascii="宋体" w:cs="宋体"/>
      <w:b/>
      <w:kern w:val="0"/>
      <w:sz w:val="24"/>
      <w:szCs w:val="20"/>
      <w:u w:val="single"/>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4"/>
    <w:qFormat/>
    <w:uiPriority w:val="0"/>
    <w:pPr>
      <w:autoSpaceDE w:val="0"/>
      <w:autoSpaceDN w:val="0"/>
      <w:adjustRightInd w:val="0"/>
      <w:ind w:firstLine="420"/>
      <w:jc w:val="left"/>
    </w:pPr>
    <w:rPr>
      <w:rFonts w:ascii="宋体"/>
      <w:kern w:val="0"/>
      <w:sz w:val="24"/>
      <w:szCs w:val="20"/>
    </w:rPr>
  </w:style>
  <w:style w:type="paragraph" w:styleId="6">
    <w:name w:val="Document Map"/>
    <w:basedOn w:val="1"/>
    <w:uiPriority w:val="0"/>
    <w:pPr>
      <w:shd w:val="clear" w:color="auto" w:fill="000080"/>
    </w:pPr>
  </w:style>
  <w:style w:type="paragraph" w:styleId="7">
    <w:name w:val="annotation text"/>
    <w:basedOn w:val="1"/>
    <w:link w:val="71"/>
    <w:uiPriority w:val="0"/>
    <w:pPr>
      <w:jc w:val="left"/>
    </w:pPr>
  </w:style>
  <w:style w:type="paragraph" w:styleId="8">
    <w:name w:val="Body Text"/>
    <w:basedOn w:val="1"/>
    <w:link w:val="61"/>
    <w:uiPriority w:val="0"/>
    <w:pPr>
      <w:tabs>
        <w:tab w:val="left" w:pos="567"/>
      </w:tabs>
      <w:spacing w:before="120" w:line="22" w:lineRule="atLeast"/>
    </w:pPr>
    <w:rPr>
      <w:rFonts w:ascii="宋体" w:hAnsi="宋体"/>
      <w:sz w:val="24"/>
    </w:rPr>
  </w:style>
  <w:style w:type="paragraph" w:styleId="9">
    <w:name w:val="Body Text Indent"/>
    <w:basedOn w:val="1"/>
    <w:qFormat/>
    <w:uiPriority w:val="0"/>
    <w:pPr>
      <w:spacing w:after="120"/>
      <w:ind w:left="420" w:leftChars="200"/>
    </w:pPr>
  </w:style>
  <w:style w:type="paragraph" w:styleId="10">
    <w:name w:val="List 2"/>
    <w:basedOn w:val="1"/>
    <w:uiPriority w:val="0"/>
    <w:pPr>
      <w:adjustRightInd w:val="0"/>
      <w:spacing w:line="360" w:lineRule="atLeast"/>
      <w:ind w:left="100" w:leftChars="200" w:hanging="200" w:hangingChars="200"/>
      <w:jc w:val="left"/>
      <w:textAlignment w:val="baseline"/>
    </w:pPr>
    <w:rPr>
      <w:kern w:val="0"/>
      <w:sz w:val="24"/>
      <w:szCs w:val="20"/>
    </w:rPr>
  </w:style>
  <w:style w:type="paragraph" w:styleId="11">
    <w:name w:val="List Continue"/>
    <w:basedOn w:val="1"/>
    <w:uiPriority w:val="0"/>
    <w:pPr>
      <w:adjustRightInd w:val="0"/>
      <w:spacing w:after="120" w:line="360" w:lineRule="atLeast"/>
      <w:ind w:left="420" w:leftChars="200"/>
      <w:jc w:val="left"/>
      <w:textAlignment w:val="baseline"/>
    </w:pPr>
    <w:rPr>
      <w:kern w:val="0"/>
      <w:sz w:val="24"/>
      <w:szCs w:val="20"/>
    </w:rPr>
  </w:style>
  <w:style w:type="paragraph" w:styleId="12">
    <w:name w:val="toc 3"/>
    <w:basedOn w:val="1"/>
    <w:next w:val="1"/>
    <w:uiPriority w:val="39"/>
    <w:pPr>
      <w:ind w:left="840" w:leftChars="400"/>
    </w:pPr>
  </w:style>
  <w:style w:type="paragraph" w:styleId="13">
    <w:name w:val="Plain Text"/>
    <w:basedOn w:val="1"/>
    <w:link w:val="57"/>
    <w:qFormat/>
    <w:uiPriority w:val="0"/>
    <w:rPr>
      <w:rFonts w:ascii="宋体" w:hAnsi="Courier New"/>
      <w:szCs w:val="20"/>
    </w:rPr>
  </w:style>
  <w:style w:type="paragraph" w:styleId="14">
    <w:name w:val="Date"/>
    <w:basedOn w:val="1"/>
    <w:next w:val="1"/>
    <w:uiPriority w:val="0"/>
    <w:pPr>
      <w:ind w:left="100" w:leftChars="2500"/>
    </w:pPr>
  </w:style>
  <w:style w:type="paragraph" w:styleId="15">
    <w:name w:val="Body Text Indent 2"/>
    <w:basedOn w:val="1"/>
    <w:uiPriority w:val="0"/>
    <w:pPr>
      <w:ind w:firstLine="480" w:firstLineChars="200"/>
    </w:pPr>
    <w:rPr>
      <w:rFonts w:ascii="仿宋_GB2312" w:eastAsia="仿宋_GB2312"/>
      <w:sz w:val="24"/>
    </w:rPr>
  </w:style>
  <w:style w:type="paragraph" w:styleId="16">
    <w:name w:val="Balloon Text"/>
    <w:basedOn w:val="1"/>
    <w:uiPriority w:val="0"/>
    <w:rPr>
      <w:sz w:val="18"/>
      <w:szCs w:val="18"/>
    </w:rPr>
  </w:style>
  <w:style w:type="paragraph" w:styleId="17">
    <w:name w:val="footer"/>
    <w:basedOn w:val="1"/>
    <w:link w:val="36"/>
    <w:uiPriority w:val="0"/>
    <w:pPr>
      <w:tabs>
        <w:tab w:val="center" w:pos="4153"/>
        <w:tab w:val="right" w:pos="8306"/>
      </w:tabs>
      <w:snapToGrid w:val="0"/>
      <w:jc w:val="left"/>
    </w:pPr>
    <w:rPr>
      <w:sz w:val="18"/>
      <w:szCs w:val="18"/>
    </w:rPr>
  </w:style>
  <w:style w:type="paragraph" w:styleId="18">
    <w:name w:val="header"/>
    <w:basedOn w:val="1"/>
    <w:link w:val="35"/>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uiPriority w:val="39"/>
    <w:pPr>
      <w:tabs>
        <w:tab w:val="right" w:leader="dot" w:pos="9629"/>
      </w:tabs>
      <w:spacing w:before="120" w:beforeLines="50" w:line="360" w:lineRule="auto"/>
      <w:jc w:val="left"/>
    </w:pPr>
  </w:style>
  <w:style w:type="paragraph" w:styleId="20">
    <w:name w:val="Body Text Indent 3"/>
    <w:basedOn w:val="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21">
    <w:name w:val="toc 2"/>
    <w:basedOn w:val="1"/>
    <w:next w:val="1"/>
    <w:uiPriority w:val="39"/>
    <w:pPr>
      <w:ind w:left="420" w:leftChars="200"/>
    </w:pPr>
  </w:style>
  <w:style w:type="paragraph" w:styleId="22">
    <w:name w:val="HTML Preformatted"/>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24"/>
    </w:rPr>
  </w:style>
  <w:style w:type="paragraph" w:styleId="24">
    <w:name w:val="index 1"/>
    <w:basedOn w:val="1"/>
    <w:next w:val="1"/>
    <w:uiPriority w:val="0"/>
    <w:rPr>
      <w:szCs w:val="20"/>
    </w:rPr>
  </w:style>
  <w:style w:type="paragraph" w:styleId="25">
    <w:name w:val="annotation subject"/>
    <w:basedOn w:val="7"/>
    <w:next w:val="7"/>
    <w:uiPriority w:val="0"/>
    <w:rPr>
      <w:b/>
      <w:bCs/>
    </w:rPr>
  </w:style>
  <w:style w:type="table" w:styleId="27">
    <w:name w:val="Table Grid"/>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page number"/>
    <w:basedOn w:val="28"/>
    <w:qFormat/>
    <w:uiPriority w:val="0"/>
  </w:style>
  <w:style w:type="character" w:styleId="31">
    <w:name w:val="Emphasis"/>
    <w:qFormat/>
    <w:uiPriority w:val="0"/>
    <w:rPr>
      <w:color w:val="CC0000"/>
    </w:rPr>
  </w:style>
  <w:style w:type="character" w:styleId="32">
    <w:name w:val="Hyperlink"/>
    <w:qFormat/>
    <w:uiPriority w:val="99"/>
    <w:rPr>
      <w:color w:val="0000FF"/>
      <w:u w:val="single"/>
    </w:rPr>
  </w:style>
  <w:style w:type="character" w:styleId="33">
    <w:name w:val="annotation reference"/>
    <w:qFormat/>
    <w:uiPriority w:val="0"/>
    <w:rPr>
      <w:sz w:val="21"/>
      <w:szCs w:val="21"/>
    </w:rPr>
  </w:style>
  <w:style w:type="character" w:customStyle="1" w:styleId="34">
    <w:name w:val="标题 1 字符"/>
    <w:link w:val="2"/>
    <w:uiPriority w:val="0"/>
    <w:rPr>
      <w:rFonts w:ascii="宋体" w:eastAsia="宋体" w:cs="宋体"/>
      <w:b/>
      <w:kern w:val="44"/>
      <w:sz w:val="32"/>
      <w:lang w:val="en-US" w:eastAsia="zh-CN" w:bidi="ar-SA"/>
    </w:rPr>
  </w:style>
  <w:style w:type="character" w:customStyle="1" w:styleId="35">
    <w:name w:val="页眉 字符"/>
    <w:link w:val="18"/>
    <w:qFormat/>
    <w:uiPriority w:val="0"/>
    <w:rPr>
      <w:rFonts w:eastAsia="宋体"/>
      <w:kern w:val="2"/>
      <w:sz w:val="18"/>
      <w:szCs w:val="18"/>
      <w:lang w:val="en-US" w:eastAsia="zh-CN" w:bidi="ar-SA"/>
    </w:rPr>
  </w:style>
  <w:style w:type="character" w:customStyle="1" w:styleId="36">
    <w:name w:val="页脚 字符"/>
    <w:link w:val="17"/>
    <w:qFormat/>
    <w:uiPriority w:val="0"/>
    <w:rPr>
      <w:rFonts w:eastAsia="宋体"/>
      <w:kern w:val="2"/>
      <w:sz w:val="18"/>
      <w:szCs w:val="18"/>
      <w:lang w:val="en-US" w:eastAsia="zh-CN" w:bidi="ar-SA"/>
    </w:rPr>
  </w:style>
  <w:style w:type="character" w:customStyle="1" w:styleId="37">
    <w:name w:val="正文首行缩进2字 Char Char"/>
    <w:link w:val="38"/>
    <w:qFormat/>
    <w:uiPriority w:val="0"/>
    <w:rPr>
      <w:rFonts w:eastAsia="楷体_GB2312"/>
      <w:sz w:val="28"/>
      <w:szCs w:val="24"/>
      <w:lang w:val="en-US" w:eastAsia="zh-CN" w:bidi="ar-SA"/>
    </w:rPr>
  </w:style>
  <w:style w:type="paragraph" w:customStyle="1" w:styleId="38">
    <w:name w:val="正文首行缩进2字"/>
    <w:basedOn w:val="1"/>
    <w:link w:val="37"/>
    <w:uiPriority w:val="0"/>
    <w:pPr>
      <w:ind w:firstLine="560" w:firstLineChars="200"/>
    </w:pPr>
    <w:rPr>
      <w:rFonts w:eastAsia="楷体_GB2312"/>
      <w:kern w:val="0"/>
      <w:sz w:val="28"/>
    </w:rPr>
  </w:style>
  <w:style w:type="character" w:customStyle="1" w:styleId="39">
    <w:name w:val="正文加重首行缩进2字 Char Char"/>
    <w:link w:val="40"/>
    <w:qFormat/>
    <w:uiPriority w:val="0"/>
    <w:rPr>
      <w:rFonts w:eastAsia="楷体_GB2312"/>
      <w:b/>
      <w:bCs/>
      <w:sz w:val="28"/>
      <w:szCs w:val="24"/>
      <w:lang w:val="en-US" w:eastAsia="zh-CN" w:bidi="ar-SA"/>
    </w:rPr>
  </w:style>
  <w:style w:type="paragraph" w:customStyle="1" w:styleId="40">
    <w:name w:val="正文加重首行缩进2字"/>
    <w:basedOn w:val="38"/>
    <w:link w:val="39"/>
    <w:uiPriority w:val="0"/>
    <w:rPr>
      <w:b/>
      <w:bCs/>
    </w:rPr>
  </w:style>
  <w:style w:type="character" w:customStyle="1" w:styleId="41">
    <w:name w:val="正文符号1 Char Char"/>
    <w:link w:val="42"/>
    <w:qFormat/>
    <w:uiPriority w:val="0"/>
    <w:rPr>
      <w:rFonts w:eastAsia="楷体_GB2312"/>
      <w:sz w:val="28"/>
      <w:szCs w:val="24"/>
    </w:rPr>
  </w:style>
  <w:style w:type="paragraph" w:customStyle="1" w:styleId="42">
    <w:name w:val="正文符号1"/>
    <w:basedOn w:val="38"/>
    <w:link w:val="41"/>
    <w:qFormat/>
    <w:uiPriority w:val="0"/>
    <w:pPr>
      <w:numPr>
        <w:ilvl w:val="0"/>
        <w:numId w:val="1"/>
      </w:numPr>
      <w:tabs>
        <w:tab w:val="left" w:pos="960"/>
        <w:tab w:val="left" w:pos="1080"/>
      </w:tabs>
      <w:ind w:left="960" w:firstLine="0" w:firstLineChars="0"/>
    </w:pPr>
  </w:style>
  <w:style w:type="character" w:customStyle="1" w:styleId="43">
    <w:name w:val="正文 首行缩进:  2 字符 Char1"/>
    <w:link w:val="44"/>
    <w:qFormat/>
    <w:uiPriority w:val="0"/>
    <w:rPr>
      <w:rFonts w:ascii="Arial" w:hAnsi="Arial" w:eastAsia="楷体_GB2312"/>
      <w:kern w:val="2"/>
      <w:sz w:val="28"/>
      <w:lang w:val="en-US" w:eastAsia="zh-CN" w:bidi="ar-SA"/>
    </w:rPr>
  </w:style>
  <w:style w:type="paragraph" w:customStyle="1" w:styleId="44">
    <w:name w:val="正文 首行缩进:  2 字符"/>
    <w:basedOn w:val="1"/>
    <w:link w:val="43"/>
    <w:uiPriority w:val="0"/>
    <w:pPr>
      <w:ind w:firstLine="560" w:firstLineChars="200"/>
    </w:pPr>
    <w:rPr>
      <w:rFonts w:ascii="Arial" w:hAnsi="Arial" w:eastAsia="楷体_GB2312"/>
      <w:sz w:val="28"/>
      <w:szCs w:val="20"/>
    </w:rPr>
  </w:style>
  <w:style w:type="paragraph" w:customStyle="1" w:styleId="45">
    <w:name w:val="目录 21"/>
    <w:basedOn w:val="1"/>
    <w:next w:val="1"/>
    <w:uiPriority w:val="39"/>
    <w:pPr>
      <w:ind w:left="420" w:leftChars="200"/>
    </w:pPr>
  </w:style>
  <w:style w:type="paragraph" w:customStyle="1" w:styleId="46">
    <w:name w:val="目录 11"/>
    <w:basedOn w:val="1"/>
    <w:next w:val="1"/>
    <w:qFormat/>
    <w:uiPriority w:val="39"/>
    <w:pPr>
      <w:tabs>
        <w:tab w:val="right" w:leader="dot" w:pos="8937"/>
      </w:tabs>
      <w:jc w:val="center"/>
    </w:pPr>
    <w:rPr>
      <w:rFonts w:ascii="宋体" w:hAnsi="宋体"/>
      <w:b/>
      <w:bCs/>
      <w:sz w:val="32"/>
      <w:szCs w:val="32"/>
    </w:rPr>
  </w:style>
  <w:style w:type="paragraph" w:customStyle="1" w:styleId="47">
    <w:name w:val="目录 31"/>
    <w:basedOn w:val="1"/>
    <w:next w:val="1"/>
    <w:qFormat/>
    <w:uiPriority w:val="39"/>
    <w:pPr>
      <w:ind w:left="840" w:leftChars="400"/>
    </w:pPr>
  </w:style>
  <w:style w:type="paragraph" w:customStyle="1" w:styleId="48">
    <w:name w:val="默认段落字体 Para Char Char Char Char Char Char Char"/>
    <w:basedOn w:val="6"/>
    <w:uiPriority w:val="0"/>
    <w:pPr>
      <w:adjustRightInd w:val="0"/>
      <w:spacing w:line="436" w:lineRule="exact"/>
      <w:ind w:left="357"/>
      <w:jc w:val="left"/>
      <w:outlineLvl w:val="3"/>
    </w:pPr>
    <w:rPr>
      <w:rFonts w:eastAsia="Times New Roman"/>
      <w:kern w:val="0"/>
      <w:sz w:val="20"/>
      <w:szCs w:val="20"/>
    </w:rPr>
  </w:style>
  <w:style w:type="paragraph" w:customStyle="1" w:styleId="49">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5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51">
    <w:name w:val="Pa4"/>
    <w:basedOn w:val="1"/>
    <w:next w:val="1"/>
    <w:uiPriority w:val="0"/>
    <w:pPr>
      <w:autoSpaceDE w:val="0"/>
      <w:autoSpaceDN w:val="0"/>
      <w:adjustRightInd w:val="0"/>
      <w:spacing w:before="80" w:line="140" w:lineRule="auto"/>
      <w:jc w:val="left"/>
    </w:pPr>
    <w:rPr>
      <w:rFonts w:ascii="Helvetica-Condensed-Bold" w:eastAsia="Helvetica-Condensed-Bold"/>
      <w:kern w:val="0"/>
      <w:sz w:val="20"/>
    </w:rPr>
  </w:style>
  <w:style w:type="paragraph" w:customStyle="1" w:styleId="52">
    <w:name w:val="chap"/>
    <w:basedOn w:val="1"/>
    <w:uiPriority w:val="0"/>
    <w:pPr>
      <w:widowControl/>
      <w:ind w:right="-30"/>
    </w:pPr>
    <w:rPr>
      <w:rFonts w:ascii="Arial" w:hAnsi="Arial"/>
      <w:b/>
      <w:caps/>
      <w:kern w:val="0"/>
      <w:sz w:val="24"/>
      <w:szCs w:val="20"/>
      <w:lang w:val="fr-FR" w:eastAsia="fr-FR"/>
    </w:rPr>
  </w:style>
  <w:style w:type="paragraph" w:customStyle="1" w:styleId="53">
    <w:name w:val="Char1"/>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54">
    <w:name w:val="Char Char Char Char Char Char"/>
    <w:basedOn w:val="1"/>
    <w:qFormat/>
    <w:uiPriority w:val="0"/>
    <w:pPr>
      <w:adjustRightInd w:val="0"/>
      <w:spacing w:line="360" w:lineRule="auto"/>
    </w:pPr>
    <w:rPr>
      <w:kern w:val="0"/>
      <w:sz w:val="24"/>
      <w:szCs w:val="20"/>
    </w:rPr>
  </w:style>
  <w:style w:type="paragraph" w:styleId="55">
    <w:name w:val="List Paragraph"/>
    <w:basedOn w:val="1"/>
    <w:link w:val="66"/>
    <w:qFormat/>
    <w:uiPriority w:val="34"/>
    <w:pPr>
      <w:ind w:firstLine="420" w:firstLineChars="200"/>
    </w:pPr>
    <w:rPr>
      <w:szCs w:val="20"/>
    </w:rPr>
  </w:style>
  <w:style w:type="paragraph" w:customStyle="1" w:styleId="56">
    <w:name w:val="Char3 Char Char Char"/>
    <w:basedOn w:val="1"/>
    <w:uiPriority w:val="0"/>
    <w:rPr>
      <w:rFonts w:ascii="Tahoma" w:hAnsi="Tahoma"/>
      <w:sz w:val="24"/>
      <w:szCs w:val="20"/>
    </w:rPr>
  </w:style>
  <w:style w:type="character" w:customStyle="1" w:styleId="57">
    <w:name w:val="纯文本 字符"/>
    <w:link w:val="13"/>
    <w:qFormat/>
    <w:uiPriority w:val="0"/>
    <w:rPr>
      <w:rFonts w:ascii="宋体" w:hAnsi="Courier New" w:eastAsia="宋体"/>
      <w:kern w:val="2"/>
      <w:sz w:val="21"/>
      <w:lang w:val="en-US" w:eastAsia="zh-CN" w:bidi="ar-SA"/>
    </w:rPr>
  </w:style>
  <w:style w:type="paragraph" w:customStyle="1" w:styleId="58">
    <w:name w:val="Revision"/>
    <w:hidden/>
    <w:semiHidden/>
    <w:uiPriority w:val="99"/>
    <w:rPr>
      <w:rFonts w:ascii="Times New Roman" w:hAnsi="Times New Roman" w:eastAsia="宋体" w:cs="Times New Roman"/>
      <w:kern w:val="2"/>
      <w:sz w:val="21"/>
      <w:szCs w:val="24"/>
      <w:lang w:val="en-US" w:eastAsia="zh-CN" w:bidi="ar-SA"/>
    </w:rPr>
  </w:style>
  <w:style w:type="character" w:customStyle="1" w:styleId="59">
    <w:name w:val="style11"/>
    <w:uiPriority w:val="0"/>
    <w:rPr>
      <w:color w:val="000000"/>
      <w:sz w:val="18"/>
      <w:szCs w:val="18"/>
    </w:rPr>
  </w:style>
  <w:style w:type="character" w:customStyle="1" w:styleId="60">
    <w:name w:val="hps"/>
    <w:basedOn w:val="28"/>
    <w:uiPriority w:val="0"/>
  </w:style>
  <w:style w:type="character" w:customStyle="1" w:styleId="61">
    <w:name w:val="正文文本 字符"/>
    <w:link w:val="8"/>
    <w:uiPriority w:val="0"/>
    <w:rPr>
      <w:rFonts w:ascii="宋体" w:hAnsi="宋体"/>
      <w:kern w:val="2"/>
      <w:sz w:val="24"/>
      <w:szCs w:val="24"/>
    </w:rPr>
  </w:style>
  <w:style w:type="character" w:customStyle="1" w:styleId="62">
    <w:name w:val="标题 2 字符"/>
    <w:link w:val="3"/>
    <w:qFormat/>
    <w:locked/>
    <w:uiPriority w:val="0"/>
    <w:rPr>
      <w:rFonts w:ascii="Arial" w:hAnsi="Arial" w:eastAsia="黑体"/>
      <w:b/>
      <w:sz w:val="30"/>
    </w:rPr>
  </w:style>
  <w:style w:type="table" w:customStyle="1" w:styleId="63">
    <w:name w:val="网格表 1 浅色1"/>
    <w:basedOn w:val="26"/>
    <w:uiPriority w:val="46"/>
    <w:rPr>
      <w:rFonts w:ascii="Calibri" w:hAnsi="Calibri"/>
      <w:kern w:val="2"/>
      <w:sz w:val="21"/>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character" w:customStyle="1" w:styleId="64">
    <w:name w:val="正文缩进 字符"/>
    <w:link w:val="4"/>
    <w:uiPriority w:val="0"/>
    <w:rPr>
      <w:rFonts w:ascii="宋体"/>
      <w:sz w:val="24"/>
    </w:rPr>
  </w:style>
  <w:style w:type="paragraph" w:customStyle="1" w:styleId="65">
    <w:name w:val="Table Paragraph"/>
    <w:basedOn w:val="1"/>
    <w:qFormat/>
    <w:uiPriority w:val="1"/>
    <w:pPr>
      <w:jc w:val="left"/>
    </w:pPr>
    <w:rPr>
      <w:rFonts w:ascii="宋体" w:hAnsi="宋体" w:cs="宋体"/>
      <w:kern w:val="0"/>
      <w:sz w:val="22"/>
      <w:szCs w:val="22"/>
      <w:lang w:eastAsia="en-US"/>
    </w:rPr>
  </w:style>
  <w:style w:type="character" w:customStyle="1" w:styleId="66">
    <w:name w:val="列表段落 字符"/>
    <w:link w:val="55"/>
    <w:locked/>
    <w:uiPriority w:val="0"/>
    <w:rPr>
      <w:kern w:val="2"/>
      <w:sz w:val="21"/>
    </w:rPr>
  </w:style>
  <w:style w:type="character" w:customStyle="1" w:styleId="67">
    <w:name w:val="普通文字1 Char"/>
    <w:uiPriority w:val="0"/>
    <w:rPr>
      <w:rFonts w:ascii="宋体" w:hAnsi="Courier New" w:eastAsia="宋体"/>
      <w:kern w:val="2"/>
      <w:sz w:val="21"/>
      <w:lang w:val="en-US" w:eastAsia="zh-CN" w:bidi="ar-SA"/>
    </w:rPr>
  </w:style>
  <w:style w:type="character" w:customStyle="1" w:styleId="68">
    <w:name w:val="列出段落 Char"/>
    <w:locked/>
    <w:uiPriority w:val="34"/>
    <w:rPr>
      <w:kern w:val="2"/>
      <w:sz w:val="21"/>
    </w:rPr>
  </w:style>
  <w:style w:type="character" w:customStyle="1" w:styleId="69">
    <w:name w:val="Subtle Emphasis"/>
    <w:basedOn w:val="28"/>
    <w:qFormat/>
    <w:uiPriority w:val="19"/>
    <w:rPr>
      <w:i/>
      <w:iCs/>
      <w:color w:val="3F3F3F" w:themeColor="text1" w:themeTint="BF"/>
    </w:rPr>
  </w:style>
  <w:style w:type="paragraph" w:styleId="70">
    <w:name w:val="No Spacing"/>
    <w:qFormat/>
    <w:uiPriority w:val="1"/>
    <w:pPr>
      <w:widowControl w:val="0"/>
    </w:pPr>
    <w:rPr>
      <w:rFonts w:ascii="宋体" w:hAnsi="宋体" w:eastAsia="宋体" w:cs="Times New Roman"/>
      <w:kern w:val="2"/>
      <w:sz w:val="24"/>
      <w:lang w:val="en-US" w:eastAsia="zh-CN" w:bidi="ar-SA"/>
    </w:rPr>
  </w:style>
  <w:style w:type="character" w:customStyle="1" w:styleId="71">
    <w:name w:val="批注文字 字符"/>
    <w:link w:val="7"/>
    <w:qFormat/>
    <w:locked/>
    <w:uiPriority w:val="0"/>
    <w:rPr>
      <w:kern w:val="2"/>
      <w:sz w:val="21"/>
      <w:szCs w:val="24"/>
    </w:rPr>
  </w:style>
  <w:style w:type="character" w:customStyle="1" w:styleId="72">
    <w:name w:val="15"/>
    <w:basedOn w:val="28"/>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2BCB0-95A3-4504-9C43-362F4B46E0E5}">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12556</Words>
  <Characters>13420</Characters>
  <Lines>118</Lines>
  <Paragraphs>33</Paragraphs>
  <TotalTime>516</TotalTime>
  <ScaleCrop>false</ScaleCrop>
  <LinksUpToDate>false</LinksUpToDate>
  <CharactersWithSpaces>15587</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2019-01-09T12:52:00Z</dcterms:created>
  <dc:creator>dufangyu</dc:creator>
  <cp:lastModifiedBy>lenovo</cp:lastModifiedBy>
  <cp:lastPrinted>2021-08-05T10:40:00Z</cp:lastPrinted>
  <dcterms:modified xsi:type="dcterms:W3CDTF">2022-05-17T06:50:03Z</dcterms:modified>
  <dc:title>北京市城市管理综合行政执法局</dc:title>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084311E2479847F09A726F2CB9983E85</vt:lpwstr>
  </property>
</Properties>
</file>