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ind w:firstLine="0" w:firstLineChars="0"/>
        <w:jc w:val="center"/>
        <w:rPr>
          <w:rFonts w:hint="eastAsia" w:ascii="宋体" w:hAnsi="宋体" w:eastAsia="宋体" w:cs="宋体"/>
          <w:b/>
          <w:sz w:val="36"/>
          <w:szCs w:val="36"/>
        </w:rPr>
      </w:pPr>
      <w:r>
        <w:rPr>
          <w:rFonts w:hint="eastAsia" w:ascii="宋体" w:hAnsi="宋体" w:eastAsia="宋体" w:cs="宋体"/>
          <w:b/>
          <w:sz w:val="36"/>
          <w:szCs w:val="36"/>
          <w:lang w:val="en-US" w:eastAsia="zh-CN"/>
        </w:rPr>
        <w:t>浦口校区安全信息发布系统</w:t>
      </w:r>
      <w:r>
        <w:rPr>
          <w:rFonts w:hint="eastAsia" w:ascii="宋体" w:hAnsi="宋体" w:eastAsia="宋体" w:cs="宋体"/>
          <w:b/>
          <w:sz w:val="36"/>
          <w:szCs w:val="36"/>
        </w:rPr>
        <w:t>技术参数及规格要求</w:t>
      </w:r>
    </w:p>
    <w:p>
      <w:pPr>
        <w:pStyle w:val="14"/>
        <w:spacing w:line="240" w:lineRule="auto"/>
        <w:ind w:firstLine="600"/>
        <w:rPr>
          <w:rFonts w:hint="eastAsia" w:ascii="宋体" w:hAnsi="宋体" w:eastAsia="宋体" w:cs="宋体"/>
        </w:rPr>
      </w:pPr>
    </w:p>
    <w:p>
      <w:pPr>
        <w:spacing w:line="360" w:lineRule="auto"/>
        <w:ind w:firstLine="48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根据政府部门为了进一步提高学生的反诈意识的指示，学校拟2023年暑假期间对浦口校区每栋宿舍安装32寸多媒体信息发布一体机，</w:t>
      </w:r>
      <w:r>
        <w:rPr>
          <w:rFonts w:hint="eastAsia" w:ascii="宋体" w:hAnsi="宋体" w:eastAsia="宋体" w:cs="宋体"/>
          <w:sz w:val="24"/>
        </w:rPr>
        <w:t>用于反诈图片、反诈文字及反诈视频等信息播放展示</w:t>
      </w:r>
      <w:r>
        <w:rPr>
          <w:rFonts w:hint="eastAsia" w:ascii="宋体" w:hAnsi="宋体" w:eastAsia="宋体" w:cs="宋体"/>
          <w:sz w:val="24"/>
          <w:lang w:val="en-US" w:eastAsia="zh-CN"/>
        </w:rPr>
        <w:t>，来提高学生的反诈意识。</w:t>
      </w:r>
    </w:p>
    <w:p>
      <w:pPr>
        <w:pStyle w:val="3"/>
        <w:numPr>
          <w:ilvl w:val="0"/>
          <w:numId w:val="2"/>
        </w:numPr>
        <w:spacing w:line="240" w:lineRule="auto"/>
        <w:ind w:left="420" w:leftChars="0" w:hanging="420" w:firstLineChars="0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.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标的物清单</w:t>
      </w:r>
    </w:p>
    <w:tbl>
      <w:tblPr>
        <w:tblStyle w:val="19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"/>
        <w:gridCol w:w="2506"/>
        <w:gridCol w:w="2862"/>
        <w:gridCol w:w="738"/>
        <w:gridCol w:w="877"/>
        <w:gridCol w:w="7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bidi="ar"/>
              </w:rPr>
              <w:t>序号</w:t>
            </w:r>
          </w:p>
        </w:tc>
        <w:tc>
          <w:tcPr>
            <w:tcW w:w="25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bidi="ar"/>
              </w:rPr>
              <w:t>设备名称</w:t>
            </w:r>
          </w:p>
        </w:tc>
        <w:tc>
          <w:tcPr>
            <w:tcW w:w="28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 w:bidi="ar"/>
              </w:rPr>
              <w:t>参数要求</w:t>
            </w:r>
          </w:p>
        </w:tc>
        <w:tc>
          <w:tcPr>
            <w:tcW w:w="7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bidi="ar"/>
              </w:rPr>
              <w:t>数量</w:t>
            </w:r>
          </w:p>
        </w:tc>
        <w:tc>
          <w:tcPr>
            <w:tcW w:w="8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bidi="ar"/>
              </w:rPr>
              <w:t>单位</w:t>
            </w:r>
          </w:p>
        </w:tc>
        <w:tc>
          <w:tcPr>
            <w:tcW w:w="7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leftChars="0" w:hanging="42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25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32寸信息发布一体机</w:t>
            </w:r>
          </w:p>
        </w:tc>
        <w:tc>
          <w:tcPr>
            <w:tcW w:w="28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显示屏尺寸≥32寸，屏幕比列：16:9，亮度≥300cd/m2；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CPU为四核CORTEX-A7，1.2GHZ，内存≥1G，支持高清具备超强的计算性能、2D/3D图形处理能力和全高清视频编解码能力，HDMI1.4标准输入接口；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  <w:t>铝型材，冷轧钢板、不易变形、机柜与模块部件结合紧密、下面底座螺丝固定不易摇摆不定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  <w:t>安卓9.0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及以上</w:t>
            </w: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  <w:t>系统</w:t>
            </w:r>
          </w:p>
        </w:tc>
        <w:tc>
          <w:tcPr>
            <w:tcW w:w="7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15</w:t>
            </w:r>
          </w:p>
        </w:tc>
        <w:tc>
          <w:tcPr>
            <w:tcW w:w="8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台</w:t>
            </w:r>
          </w:p>
        </w:tc>
        <w:tc>
          <w:tcPr>
            <w:tcW w:w="7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leftChars="0" w:hanging="42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25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壁挂/吊装支架</w:t>
            </w:r>
          </w:p>
        </w:tc>
        <w:tc>
          <w:tcPr>
            <w:tcW w:w="28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配套</w:t>
            </w:r>
          </w:p>
        </w:tc>
        <w:tc>
          <w:tcPr>
            <w:tcW w:w="7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15</w:t>
            </w:r>
          </w:p>
        </w:tc>
        <w:tc>
          <w:tcPr>
            <w:tcW w:w="8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7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leftChars="0" w:hanging="42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25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管理软件</w:t>
            </w:r>
          </w:p>
        </w:tc>
        <w:tc>
          <w:tcPr>
            <w:tcW w:w="28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配合</w:t>
            </w: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信息发布一体机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使用，实现设备联网，信息同步等功能</w:t>
            </w:r>
          </w:p>
        </w:tc>
        <w:tc>
          <w:tcPr>
            <w:tcW w:w="7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</w:t>
            </w:r>
          </w:p>
        </w:tc>
        <w:tc>
          <w:tcPr>
            <w:tcW w:w="8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项</w:t>
            </w:r>
          </w:p>
        </w:tc>
        <w:tc>
          <w:tcPr>
            <w:tcW w:w="7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leftChars="0" w:hanging="42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5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系统对接</w:t>
            </w:r>
          </w:p>
        </w:tc>
        <w:tc>
          <w:tcPr>
            <w:tcW w:w="28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信息发布系统需无缝对接到浦口校区安防管理平台中，实现统一管理的目的</w:t>
            </w:r>
          </w:p>
        </w:tc>
        <w:tc>
          <w:tcPr>
            <w:tcW w:w="7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8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7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leftChars="0" w:hanging="42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5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六类非屏蔽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网线</w:t>
            </w:r>
          </w:p>
        </w:tc>
        <w:tc>
          <w:tcPr>
            <w:tcW w:w="28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  <w:t>带十字骨架，带宽≥250MHz，芯线为AWG23，采用单晶无氧铜</w:t>
            </w:r>
          </w:p>
        </w:tc>
        <w:tc>
          <w:tcPr>
            <w:tcW w:w="7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8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箱</w:t>
            </w:r>
          </w:p>
        </w:tc>
        <w:tc>
          <w:tcPr>
            <w:tcW w:w="7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leftChars="0" w:hanging="42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5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电源线</w:t>
            </w:r>
          </w:p>
        </w:tc>
        <w:tc>
          <w:tcPr>
            <w:tcW w:w="28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国标RVV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*1.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7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1000</w:t>
            </w:r>
          </w:p>
        </w:tc>
        <w:tc>
          <w:tcPr>
            <w:tcW w:w="8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米</w:t>
            </w:r>
          </w:p>
        </w:tc>
        <w:tc>
          <w:tcPr>
            <w:tcW w:w="7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leftChars="0" w:hanging="42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5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辅材</w:t>
            </w:r>
          </w:p>
        </w:tc>
        <w:tc>
          <w:tcPr>
            <w:tcW w:w="28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包含水晶头、线槽、波纹管、扎带</w:t>
            </w:r>
          </w:p>
        </w:tc>
        <w:tc>
          <w:tcPr>
            <w:tcW w:w="7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8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7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</w:p>
        </w:tc>
      </w:tr>
    </w:tbl>
    <w:p>
      <w:pPr>
        <w:pStyle w:val="3"/>
        <w:numPr>
          <w:ilvl w:val="0"/>
          <w:numId w:val="2"/>
        </w:numPr>
        <w:spacing w:line="240" w:lineRule="auto"/>
        <w:ind w:left="420" w:leftChars="0" w:hanging="420" w:firstLineChars="0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.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详细技术参数及规格要求</w:t>
      </w:r>
    </w:p>
    <w:p>
      <w:p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</w:rPr>
        <w:t>2.1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功能要求：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实时监控终端在线播放情况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查看终端属性（包括软件版本，IP、Mac地址、系统版本，设备编号、注册状态）修改终端名称，方便统一管理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设置终端自动开关机时间（支持不低于5分钟的间隔，根据不同安卓主板视情况而定而且安卓主板要进行调试）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终端可远程关机，重启，播放，停止，暂停，调节音量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远程监控终端播放情况，通过查看到终端显示画面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查看终端节目的下载进度，并支持断点续传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可远程升级终端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可对终端进行分组管理，可新增分组，移动，删除终端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支持播放图片，视频，音频，字幕，日期，时间，星期，天气，网页，excel,PDF文档，RSS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支持混播及轮播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可支持分屏，可支持画面的任意切割，模式，直立式以及播放区域自由组合，划分等操作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支持自定义分辨率，支持扩展屏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可支持背景音乐播放模式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支持节目预览功能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支持滚动字幕，并支持添加多条字幕，每条字幕都可以单独设置字体类型，大小，颜色，播放速度，背景颜色。滚动方向支持向上，向下，向左，向右，静止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图片播放支持图片切换特效14种，并支持手动左右滑动切换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支持不同终端，上图片和视频的同步播放模式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支持节目新增，修改，删除，另存为，分类，预览，发送，导出，导入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字幕支持滚动字幕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支持素材资源上传和下载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查看素材文件大小，上传时间，上传路径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可对素材的删除，重命名，复制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可对素材文件夹新建，删除，重名名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角色管理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增加角色。为该角色设定权限例如：设置出超级管理员，审核人员，发布人员的权限角色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删除及修改角色权限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分组管理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添加分组。对终端机器根据各种情况，进行分组设置，方便管理例如：对终端机器根据各个地区的分组（市级组，县级组，村级组）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终端软件可支持安卓系统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支持U盘导入和导出节目，以便于网络离线状态更新播放列表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支持终端播放内容统计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支持节目插播，可对节目选择实时插播和定时插播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支持字幕插播，在不影响原有节目播放的情况下，可实时插播和定时插播字幕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  <w:t>在管理平台可修改桌面及修改登录密码</w:t>
      </w:r>
    </w:p>
    <w:p>
      <w:p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2.2供货</w:t>
      </w:r>
      <w:r>
        <w:rPr>
          <w:rFonts w:hint="eastAsia" w:ascii="宋体" w:hAnsi="宋体" w:eastAsia="宋体" w:cs="宋体"/>
          <w:b/>
          <w:bCs/>
          <w:sz w:val="24"/>
        </w:rPr>
        <w:t>要求：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提供的货物（含配件）应是全新的、未使用过的原装合格正品，并保证所提供货物的开箱合格率为100%，外观和内在质量都不得有任何问题，并在各个方面符合合同规定的质量、规格和性能要求。软硬件经过正确安装、合规配置和维护保养，在设备寿命期内运转良好。在规定的质保期内，供应商应对由于设计、工艺或材料的缺陷或故障负责。在未验收前，货物保管、安全均由供应商负责。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所提供的技术资料完整正确，数据和资料准确无误，能够保证设备按时正确地安装、调试和验收，并能满足正常运行和维修保养的需要。货物送到采购人指定地点，并负责办理运输和装卸，费用由供应商负责。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采购人使用该货物的任何一部分，当受第三方提出的侵犯其专利权、商标权或工业设计权的投诉时，一切后果由供应商负责。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如未能达到合同要求，采购人有权退货并要求供应商赔偿损失。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安装和调试：项目实施人员现场进行安装调试，直至验收合格。</w:t>
      </w:r>
    </w:p>
    <w:p>
      <w:p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2.3实施</w:t>
      </w:r>
      <w:r>
        <w:rPr>
          <w:rFonts w:hint="eastAsia" w:ascii="宋体" w:hAnsi="宋体" w:eastAsia="宋体" w:cs="宋体"/>
          <w:b/>
          <w:bCs/>
          <w:sz w:val="24"/>
        </w:rPr>
        <w:t>要求：</w:t>
      </w:r>
    </w:p>
    <w:p>
      <w:pPr>
        <w:spacing w:line="360" w:lineRule="auto"/>
        <w:ind w:firstLine="600" w:firstLineChars="0"/>
        <w:rPr>
          <w:rFonts w:hint="eastAsia" w:ascii="宋体" w:hAnsi="宋体" w:eastAsia="宋体" w:cs="宋体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每栋</w:t>
      </w:r>
      <w:r>
        <w:rPr>
          <w:rFonts w:hint="eastAsia" w:ascii="宋体" w:hAnsi="宋体" w:eastAsia="宋体" w:cs="宋体"/>
          <w:sz w:val="24"/>
          <w:lang w:val="en-US" w:eastAsia="zh-CN"/>
        </w:rPr>
        <w:t>学生宿舍安装</w:t>
      </w:r>
      <w:r>
        <w:rPr>
          <w:rFonts w:hint="eastAsia" w:ascii="宋体" w:hAnsi="宋体" w:eastAsia="宋体" w:cs="宋体"/>
          <w:sz w:val="24"/>
          <w:szCs w:val="24"/>
          <w:lang w:bidi="ar"/>
        </w:rPr>
        <w:t>信息发布一体机</w:t>
      </w:r>
      <w:r>
        <w:rPr>
          <w:rFonts w:hint="eastAsia" w:ascii="宋体" w:hAnsi="宋体" w:eastAsia="宋体" w:cs="宋体"/>
          <w:sz w:val="24"/>
          <w:szCs w:val="24"/>
          <w:lang w:eastAsia="zh-CN" w:bidi="ar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 w:bidi="ar"/>
        </w:rPr>
        <w:t>施工过程中不影响宿舍的正常使用，不得影响学生休息，中标供应商需在规定的时间内完成安装及设备调试等工作。因本项目为改造项目，进场前需充分对现场情况进行调研，做好实施前的全部准备工作，确保项目实施过程的顺利开展。同时能够结合采购清单，对项目提供深化设计方案。</w:t>
      </w:r>
    </w:p>
    <w:p>
      <w:p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2.4验收标准:</w:t>
      </w:r>
    </w:p>
    <w:p>
      <w:pPr>
        <w:spacing w:line="360" w:lineRule="auto"/>
        <w:ind w:firstLine="600" w:firstLineChars="0"/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供应商须在合同签订后3内完成合同内软硬件的安装、调试、试运行等工作，由采购人单位组织现场验收，设备按国家行业标准和招标文件、投标文件及合同约定的技术参数及功能指标要求进行验收，并出具项目验收报告。</w:t>
      </w:r>
    </w:p>
    <w:p>
      <w:p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2.5质保要求：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质保期：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三年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（自交货验收合格之日起计），在质保期内，供应商应确保设备的正常使用。在接到用户服务要求后应立即做出回应，并在承诺的服务时间内实施服务。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供应商有良好的售后服务能力，出现影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响用户业务的故障时，1 小时内做出明确响应和安排，2 小时内排除故障并做出故障诊断报告，如未能在规定时间内排除故障，对业务造成 2 小时及以上中断的，对每发生一次，其质保期相应延长 30 天。项目验收合格后，提供每年不低于4次的例行维护及巡检。</w:t>
      </w:r>
    </w:p>
    <w:p>
      <w:p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2.6培训要求：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供应商负责货物安装和调试以及操作人员培训，并制定详细的培训计划，使操作人员能独立进行管理、操作、维护和基本故障处理等工作，做好相关记录及技术文档收集整理，待验收合格后移交给采购人。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供应商提供详细技术资料并免费按采购人要求进行技术培训，要求不少于4次培训。</w:t>
      </w:r>
    </w:p>
    <w:p>
      <w:pPr>
        <w:pStyle w:val="17"/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培训的内容及方案应由双方协商制定，供应商前来进行技术培训人员的费用包括在合同总价中。</w:t>
      </w:r>
    </w:p>
    <w:p>
      <w:pPr>
        <w:pStyle w:val="17"/>
        <w:spacing w:line="240" w:lineRule="auto"/>
        <w:rPr>
          <w:rFonts w:hint="eastAsia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298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00"/>
      </w:pPr>
      <w:r>
        <w:separator/>
      </w:r>
    </w:p>
  </w:endnote>
  <w:endnote w:type="continuationSeparator" w:id="1">
    <w:p>
      <w:pPr>
        <w:spacing w:line="240" w:lineRule="auto"/>
        <w:ind w:firstLine="6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281723"/>
      <w:docPartObj>
        <w:docPartGallery w:val="autotext"/>
      </w:docPartObj>
    </w:sdtPr>
    <w:sdtContent>
      <w:p>
        <w:pPr>
          <w:pStyle w:val="15"/>
          <w:ind w:firstLine="360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15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600"/>
      </w:pPr>
      <w:r>
        <w:separator/>
      </w:r>
    </w:p>
  </w:footnote>
  <w:footnote w:type="continuationSeparator" w:id="1">
    <w:p>
      <w:pPr>
        <w:spacing w:line="360" w:lineRule="auto"/>
        <w:ind w:firstLine="60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C57349"/>
    <w:multiLevelType w:val="singleLevel"/>
    <w:tmpl w:val="96C57349"/>
    <w:lvl w:ilvl="0" w:tentative="0">
      <w:start w:val="1"/>
      <w:numFmt w:val="decimal"/>
      <w:lvlText w:val="%1)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1">
    <w:nsid w:val="B6658959"/>
    <w:multiLevelType w:val="multilevel"/>
    <w:tmpl w:val="B6658959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0" w:hanging="420"/>
      </w:pPr>
      <w:rPr>
        <w:rFonts w:hint="default" w:ascii="宋体" w:hAnsi="宋体" w:eastAsia="宋体" w:cs="宋体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F521FAFB"/>
    <w:multiLevelType w:val="singleLevel"/>
    <w:tmpl w:val="F521FAFB"/>
    <w:lvl w:ilvl="0" w:tentative="0">
      <w:start w:val="1"/>
      <w:numFmt w:val="decimal"/>
      <w:lvlText w:val="%1)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3">
    <w:nsid w:val="0053208E"/>
    <w:multiLevelType w:val="multilevel"/>
    <w:tmpl w:val="0053208E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6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7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8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9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10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1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4">
    <w:nsid w:val="0DD8E7D7"/>
    <w:multiLevelType w:val="singleLevel"/>
    <w:tmpl w:val="0DD8E7D7"/>
    <w:lvl w:ilvl="0" w:tentative="0">
      <w:start w:val="1"/>
      <w:numFmt w:val="decimal"/>
      <w:lvlText w:val="%1)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5">
    <w:nsid w:val="2468C117"/>
    <w:multiLevelType w:val="multilevel"/>
    <w:tmpl w:val="2468C117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0" w:hanging="420"/>
      </w:pPr>
      <w:rPr>
        <w:rFonts w:hint="default" w:ascii="宋体" w:hAnsi="宋体" w:eastAsia="宋体" w:cs="宋体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6550CED9"/>
    <w:multiLevelType w:val="singleLevel"/>
    <w:tmpl w:val="6550CED9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7">
    <w:nsid w:val="660FEC50"/>
    <w:multiLevelType w:val="singleLevel"/>
    <w:tmpl w:val="660FEC50"/>
    <w:lvl w:ilvl="0" w:tentative="0">
      <w:start w:val="1"/>
      <w:numFmt w:val="decimal"/>
      <w:lvlText w:val="%1)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c4Mjc1ZTQ5MWZhNTYzODQ2OGQ4YzczMTViODE1NWQifQ=="/>
  </w:docVars>
  <w:rsids>
    <w:rsidRoot w:val="00172A27"/>
    <w:rsid w:val="00085B5A"/>
    <w:rsid w:val="001110C0"/>
    <w:rsid w:val="00154D4E"/>
    <w:rsid w:val="00210613"/>
    <w:rsid w:val="002708A9"/>
    <w:rsid w:val="003C78AD"/>
    <w:rsid w:val="00656425"/>
    <w:rsid w:val="0066277F"/>
    <w:rsid w:val="007B6ACE"/>
    <w:rsid w:val="00B95836"/>
    <w:rsid w:val="00B963DC"/>
    <w:rsid w:val="00BF2180"/>
    <w:rsid w:val="00C57654"/>
    <w:rsid w:val="00CE0955"/>
    <w:rsid w:val="00E0617F"/>
    <w:rsid w:val="00E26CE9"/>
    <w:rsid w:val="00F1090B"/>
    <w:rsid w:val="12380A2C"/>
    <w:rsid w:val="14F46D7C"/>
    <w:rsid w:val="22AE704F"/>
    <w:rsid w:val="2B1B0800"/>
    <w:rsid w:val="369C2984"/>
    <w:rsid w:val="370A20E7"/>
    <w:rsid w:val="3F2226C4"/>
    <w:rsid w:val="420068B9"/>
    <w:rsid w:val="46C2619D"/>
    <w:rsid w:val="471C20EE"/>
    <w:rsid w:val="501C315F"/>
    <w:rsid w:val="54B55930"/>
    <w:rsid w:val="55197C6D"/>
    <w:rsid w:val="5B8A37FB"/>
    <w:rsid w:val="64231224"/>
    <w:rsid w:val="684F3C7A"/>
    <w:rsid w:val="733C00EB"/>
    <w:rsid w:val="75320946"/>
    <w:rsid w:val="78485FF0"/>
    <w:rsid w:val="7BA21E8B"/>
    <w:rsid w:val="7D0F3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720" w:firstLineChars="200"/>
      <w:jc w:val="both"/>
    </w:pPr>
    <w:rPr>
      <w:rFonts w:ascii="Times New Roman" w:hAnsi="Times New Roman" w:eastAsia="仿宋" w:cs="Times New Roman"/>
      <w:kern w:val="2"/>
      <w:sz w:val="30"/>
      <w:szCs w:val="24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numPr>
        <w:ilvl w:val="0"/>
        <w:numId w:val="1"/>
      </w:numPr>
      <w:spacing w:line="240" w:lineRule="auto"/>
      <w:ind w:firstLineChars="0"/>
      <w:jc w:val="left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numPr>
        <w:ilvl w:val="1"/>
        <w:numId w:val="1"/>
      </w:numPr>
      <w:spacing w:before="260" w:after="140" w:line="413" w:lineRule="auto"/>
      <w:ind w:firstLineChars="0"/>
      <w:outlineLvl w:val="1"/>
    </w:pPr>
    <w:rPr>
      <w:rFonts w:eastAsia="楷体"/>
      <w:sz w:val="36"/>
    </w:rPr>
  </w:style>
  <w:style w:type="paragraph" w:styleId="4">
    <w:name w:val="heading 3"/>
    <w:basedOn w:val="1"/>
    <w:next w:val="5"/>
    <w:link w:val="22"/>
    <w:semiHidden/>
    <w:unhideWhenUsed/>
    <w:qFormat/>
    <w:uiPriority w:val="9"/>
    <w:pPr>
      <w:keepNext/>
      <w:keepLines/>
      <w:numPr>
        <w:ilvl w:val="2"/>
        <w:numId w:val="1"/>
      </w:numPr>
      <w:autoSpaceDE w:val="0"/>
      <w:autoSpaceDN w:val="0"/>
      <w:adjustRightInd w:val="0"/>
      <w:spacing w:before="120" w:after="120" w:line="416" w:lineRule="atLeast"/>
      <w:ind w:firstLine="0" w:firstLineChars="0"/>
      <w:outlineLvl w:val="2"/>
    </w:pPr>
    <w:rPr>
      <w:rFonts w:eastAsia="宋体"/>
      <w:kern w:val="0"/>
      <w:szCs w:val="20"/>
    </w:rPr>
  </w:style>
  <w:style w:type="paragraph" w:styleId="6">
    <w:name w:val="heading 4"/>
    <w:next w:val="1"/>
    <w:link w:val="21"/>
    <w:semiHidden/>
    <w:unhideWhenUsed/>
    <w:qFormat/>
    <w:uiPriority w:val="9"/>
    <w:pPr>
      <w:keepNext/>
      <w:keepLines/>
      <w:numPr>
        <w:ilvl w:val="3"/>
        <w:numId w:val="1"/>
      </w:numPr>
      <w:spacing w:line="360" w:lineRule="auto"/>
      <w:outlineLvl w:val="3"/>
    </w:pPr>
    <w:rPr>
      <w:rFonts w:ascii="Calibri Light" w:hAnsi="Calibri Light" w:eastAsia="仿宋" w:cs="宋体"/>
      <w:bCs/>
      <w:sz w:val="28"/>
      <w:szCs w:val="28"/>
      <w:lang w:val="en-US" w:eastAsia="zh-CN" w:bidi="ar-SA"/>
    </w:rPr>
  </w:style>
  <w:style w:type="paragraph" w:styleId="7">
    <w:name w:val="heading 5"/>
    <w:basedOn w:val="1"/>
    <w:next w:val="1"/>
    <w:semiHidden/>
    <w:unhideWhenUsed/>
    <w:qFormat/>
    <w:uiPriority w:val="9"/>
    <w:pPr>
      <w:keepNext/>
      <w:keepLines/>
      <w:numPr>
        <w:ilvl w:val="4"/>
        <w:numId w:val="1"/>
      </w:numPr>
      <w:spacing w:before="280" w:after="290" w:line="372" w:lineRule="auto"/>
      <w:ind w:firstLine="0" w:firstLineChars="0"/>
      <w:outlineLvl w:val="4"/>
    </w:pPr>
    <w:rPr>
      <w:b/>
      <w:sz w:val="28"/>
    </w:rPr>
  </w:style>
  <w:style w:type="paragraph" w:styleId="8">
    <w:name w:val="heading 6"/>
    <w:basedOn w:val="1"/>
    <w:next w:val="1"/>
    <w:semiHidden/>
    <w:unhideWhenUsed/>
    <w:qFormat/>
    <w:uiPriority w:val="9"/>
    <w:pPr>
      <w:keepNext/>
      <w:keepLines/>
      <w:numPr>
        <w:ilvl w:val="5"/>
        <w:numId w:val="1"/>
      </w:numPr>
      <w:spacing w:before="240" w:after="64" w:line="317" w:lineRule="auto"/>
      <w:ind w:firstLine="0" w:firstLineChars="0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ind w:firstLine="0" w:firstLineChars="0"/>
      <w:outlineLvl w:val="6"/>
    </w:pPr>
    <w:rPr>
      <w:b/>
      <w:sz w:val="24"/>
    </w:rPr>
  </w:style>
  <w:style w:type="paragraph" w:styleId="10">
    <w:name w:val="heading 8"/>
    <w:basedOn w:val="1"/>
    <w:next w:val="1"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ind w:firstLine="0" w:firstLineChars="0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ind w:firstLine="0" w:firstLineChars="0"/>
      <w:outlineLvl w:val="8"/>
    </w:pPr>
    <w:rPr>
      <w:rFonts w:ascii="Arial" w:hAnsi="Arial" w:eastAsia="黑体"/>
      <w:sz w:val="21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ind w:firstLine="420"/>
    </w:pPr>
  </w:style>
  <w:style w:type="paragraph" w:styleId="12">
    <w:name w:val="annotation text"/>
    <w:basedOn w:val="1"/>
    <w:qFormat/>
    <w:uiPriority w:val="0"/>
    <w:pPr>
      <w:jc w:val="left"/>
    </w:pPr>
  </w:style>
  <w:style w:type="paragraph" w:styleId="13">
    <w:name w:val="Body Text"/>
    <w:basedOn w:val="1"/>
    <w:next w:val="1"/>
    <w:qFormat/>
    <w:uiPriority w:val="0"/>
    <w:pPr>
      <w:spacing w:after="120"/>
    </w:pPr>
  </w:style>
  <w:style w:type="paragraph" w:styleId="14">
    <w:name w:val="Plain Text"/>
    <w:basedOn w:val="1"/>
    <w:qFormat/>
    <w:uiPriority w:val="0"/>
    <w:rPr>
      <w:rFonts w:ascii="宋体" w:hAnsi="Courier New"/>
    </w:rPr>
  </w:style>
  <w:style w:type="paragraph" w:styleId="15">
    <w:name w:val="footer"/>
    <w:basedOn w:val="1"/>
    <w:link w:val="2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16">
    <w:name w:val="header"/>
    <w:basedOn w:val="1"/>
    <w:link w:val="2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7">
    <w:name w:val="Body Text First Indent"/>
    <w:basedOn w:val="13"/>
    <w:unhideWhenUsed/>
    <w:qFormat/>
    <w:uiPriority w:val="0"/>
    <w:pPr>
      <w:spacing w:beforeLines="0" w:afterLines="0"/>
      <w:ind w:firstLine="420"/>
    </w:pPr>
    <w:rPr>
      <w:rFonts w:hint="default"/>
      <w:sz w:val="24"/>
      <w:szCs w:val="24"/>
    </w:rPr>
  </w:style>
  <w:style w:type="table" w:styleId="19">
    <w:name w:val="Table Grid"/>
    <w:basedOn w:val="18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1">
    <w:name w:val="标题 4 字符"/>
    <w:basedOn w:val="20"/>
    <w:link w:val="6"/>
    <w:qFormat/>
    <w:uiPriority w:val="9"/>
    <w:rPr>
      <w:rFonts w:ascii="Calibri Light" w:hAnsi="Calibri Light" w:eastAsia="仿宋" w:cs="宋体"/>
      <w:bCs/>
      <w:kern w:val="2"/>
      <w:sz w:val="28"/>
      <w:szCs w:val="28"/>
    </w:rPr>
  </w:style>
  <w:style w:type="character" w:customStyle="1" w:styleId="22">
    <w:name w:val="标题 3 字符"/>
    <w:basedOn w:val="20"/>
    <w:link w:val="4"/>
    <w:qFormat/>
    <w:uiPriority w:val="0"/>
    <w:rPr>
      <w:rFonts w:ascii="Times New Roman" w:hAnsi="Times New Roman" w:eastAsia="宋体" w:cs="Times New Roman"/>
      <w:kern w:val="0"/>
      <w:sz w:val="30"/>
      <w:szCs w:val="20"/>
    </w:rPr>
  </w:style>
  <w:style w:type="character" w:customStyle="1" w:styleId="23">
    <w:name w:val="标题 1 字符"/>
    <w:link w:val="2"/>
    <w:qFormat/>
    <w:uiPriority w:val="0"/>
    <w:rPr>
      <w:rFonts w:ascii="Times New Roman" w:hAnsi="Times New Roman" w:eastAsia="仿宋" w:cs="Times New Roman"/>
      <w:b/>
      <w:kern w:val="44"/>
      <w:sz w:val="44"/>
    </w:rPr>
  </w:style>
  <w:style w:type="paragraph" w:styleId="24">
    <w:name w:val="List Paragraph"/>
    <w:basedOn w:val="1"/>
    <w:qFormat/>
    <w:uiPriority w:val="99"/>
    <w:pPr>
      <w:ind w:firstLine="420"/>
    </w:pPr>
  </w:style>
  <w:style w:type="character" w:customStyle="1" w:styleId="25">
    <w:name w:val="页眉 字符"/>
    <w:basedOn w:val="20"/>
    <w:link w:val="16"/>
    <w:qFormat/>
    <w:uiPriority w:val="99"/>
    <w:rPr>
      <w:rFonts w:eastAsia="仿宋"/>
      <w:kern w:val="2"/>
      <w:sz w:val="18"/>
      <w:szCs w:val="18"/>
    </w:rPr>
  </w:style>
  <w:style w:type="character" w:customStyle="1" w:styleId="26">
    <w:name w:val="页脚 字符"/>
    <w:basedOn w:val="20"/>
    <w:link w:val="15"/>
    <w:qFormat/>
    <w:uiPriority w:val="99"/>
    <w:rPr>
      <w:rFonts w:eastAsia="仿宋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56D5AD-4E75-40D7-956C-2FC5238EACA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2215</Words>
  <Characters>2310</Characters>
  <Lines>6</Lines>
  <Paragraphs>1</Paragraphs>
  <TotalTime>3</TotalTime>
  <ScaleCrop>false</ScaleCrop>
  <LinksUpToDate>false</LinksUpToDate>
  <CharactersWithSpaces>2317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2023-06-13T02:33:00Z</dcterms:created>
  <dc:creator>Norah</dc:creator>
  <cp:lastModifiedBy>MR.C</cp:lastModifiedBy>
  <dcterms:modified xsi:type="dcterms:W3CDTF">2023-06-21T06:47:46Z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1A0B1014C9B44479B8630FD7895352C2_13</vt:lpwstr>
  </property>
</Properties>
</file>